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r w:rsidR="00F774FE">
        <w:t>pseudotyping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Rachel Eguia</w:t>
      </w:r>
      <w:r w:rsidR="00E37AF0" w:rsidRPr="00325902">
        <w:t xml:space="preserve"> </w:t>
      </w:r>
      <w:r w:rsidR="00E37AF0" w:rsidRPr="00325902">
        <w:rPr>
          <w:vertAlign w:val="superscript"/>
        </w:rPr>
        <w:t>1</w:t>
      </w:r>
      <w:r w:rsidR="00BB25ED">
        <w:t>, Adam</w:t>
      </w:r>
      <w:r w:rsidR="00CB69EA">
        <w:t xml:space="preserve"> S.</w:t>
      </w:r>
      <w:r w:rsidR="00BB25ED">
        <w:t xml:space="preserve"> Dingens</w:t>
      </w:r>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Loes</w:t>
      </w:r>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M. Alejandra Tortorici</w:t>
      </w:r>
      <w:r w:rsidR="00EC0176">
        <w:t xml:space="preserve"> </w:t>
      </w:r>
      <w:r w:rsidR="00EC0176">
        <w:rPr>
          <w:vertAlign w:val="superscript"/>
        </w:rPr>
        <w:t>5,6</w:t>
      </w:r>
      <w:r w:rsidR="005E33BF">
        <w:t>, David Veesler</w:t>
      </w:r>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gramStart"/>
      <w:r w:rsidR="00BB25ED">
        <w:t>Balazs</w:t>
      </w:r>
      <w:r w:rsidR="00B63BE3">
        <w:t xml:space="preserve"> </w:t>
      </w:r>
      <w:r w:rsidR="00BB25ED">
        <w:t>,</w:t>
      </w:r>
      <w:proofErr w:type="gramEnd"/>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Institut</w:t>
      </w:r>
      <w:proofErr w:type="gramEnd"/>
      <w:r>
        <w:rPr>
          <w:szCs w:val="20"/>
        </w:rPr>
        <w:t xml:space="preserve"> Pasteur, Unite de Virologie Structurale,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The Ragon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pseudotype Spike on biosafety-level-2 </w:t>
      </w:r>
      <w:r w:rsidR="00FC6D32">
        <w:t>virions</w:t>
      </w:r>
      <w:r w:rsidR="002A5BB0">
        <w:t xml:space="preserve">. </w:t>
      </w:r>
      <w:r w:rsidR="00F25DC8">
        <w:t>Such pseudotyping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pseudotype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these pseudotyped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SARS-CoV-2, COVID-19, coronavirus, neutralization assay, lentiviral pseudotype,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 xml:space="preserve">its close relative SARS-CoV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31D542E8"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coronaviruses can be “pseudotyped”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1274F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d":{"date-parts":[["2016"]]},"title":"Murine Leukemia Virus (MLV)-based Coronavirus Spike-pseudotyped Particle Production and Infection","type":"article-journal"},"uris":["http://www.mendeley.com/documents/?uuid=b83d60a4-13e5-4f19-ba56-2a9018bbe207"]}],"mendeley":{"formattedCitation":"[25–32]","plainTextFormattedCitation":"[25–32]","previouslyFormattedCitation":"[25–32]"},"properties":{"noteIndex":0},"schema":"https://github.com/citation-style-language/schema/raw/master/csl-citation.json"}</w:instrText>
      </w:r>
      <w:r w:rsidR="003E48E4">
        <w:fldChar w:fldCharType="separate"/>
      </w:r>
      <w:r w:rsidR="003E48E4" w:rsidRPr="003E48E4">
        <w:rPr>
          <w:noProof/>
        </w:rPr>
        <w:t>[25–32]</w:t>
      </w:r>
      <w:r w:rsidR="003E48E4">
        <w:fldChar w:fldCharType="end"/>
      </w:r>
      <w:r w:rsidR="009537A4">
        <w:t xml:space="preserve">. For SARS-CoV-2, such pseudotyping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pseudovirus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F7694F">
      <w:pPr>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pseudotype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pseudotyped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pseudotyping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Spike-pseudotyped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05828C00">
            <wp:extent cx="5130800" cy="435282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654" cy="4372214"/>
                    </a:xfrm>
                    <a:prstGeom prst="rect">
                      <a:avLst/>
                    </a:prstGeom>
                  </pic:spPr>
                </pic:pic>
              </a:graphicData>
            </a:graphic>
          </wp:inline>
        </w:drawing>
      </w:r>
    </w:p>
    <w:p w14:paraId="7B1183CE" w14:textId="1DE29CF1" w:rsidR="003E4834" w:rsidRPr="002427CB" w:rsidRDefault="00181401" w:rsidP="003E4834">
      <w:pPr>
        <w:pStyle w:val="MDPI51figurecaption"/>
      </w:pPr>
      <w:r w:rsidRPr="00325902">
        <w:rPr>
          <w:b/>
        </w:rPr>
        <w:t>Figure 1.</w:t>
      </w:r>
      <w:r w:rsidRPr="00325902">
        <w:t xml:space="preserve"> </w:t>
      </w:r>
      <w:r w:rsidR="003C1019">
        <w:t>General approach for lentiviral pseudotyping</w:t>
      </w:r>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1A2EA3">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Infections","id":"ITEM-1","issued":{"date-parts":[["2020"]]},"title":"Potent binding of 2019 novel coronavirus spike protein by a SARS coronavirus-specific human monoclonal antibody","type":"article"},"uris":["http://www.mendeley.com/documents/?uuid=5fce64dd-3b12-4e5d-b6c4-36b24c4f45e4"]},{"id":"ITEM-2","itemData":{"DOI":"10.1126/science.abb7269","ISSN":"0036-8075","PMID":"32245784","abstract":"The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[39–41]","plainTextFormattedCitation":"[39–41]","previouslyFormattedCitation":"[39–41]"},"properties":{"noteIndex":0},"schema":"https://github.com/citation-style-language/schema/raw/master/csl-citation.json"}</w:instrText>
      </w:r>
      <w:r w:rsidR="007D58E1">
        <w:fldChar w:fldCharType="separate"/>
      </w:r>
      <w:r w:rsidR="007D58E1" w:rsidRPr="007D58E1">
        <w:rPr>
          <w:noProof/>
        </w:rPr>
        <w:t>[39–41]</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41182B">
        <w:t xml:space="preserve"> </w:t>
      </w:r>
      <w:r w:rsidR="0041182B" w:rsidRPr="0041182B">
        <w:rPr>
          <w:color w:val="FF0000"/>
        </w:rPr>
        <w:t>X</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0B9302B3"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1A2EA3">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[42]","plainTextFormattedCitation":"[42]","previouslyFormattedCitation":"[42]"},"properties":{"noteIndex":0},"schema":"https://github.com/citation-style-language/schema/raw/master/csl-citation.json"}</w:instrText>
      </w:r>
      <w:r w:rsidR="00865550">
        <w:rPr>
          <w:i w:val="0"/>
          <w:iCs/>
        </w:rPr>
        <w:fldChar w:fldCharType="separate"/>
      </w:r>
      <w:r w:rsidR="007D58E1" w:rsidRPr="007D58E1">
        <w:rPr>
          <w:i w:val="0"/>
          <w:iCs/>
        </w:rPr>
        <w:t>[42]</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1A2EA3">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[43]","plainTextFormattedCitation":"[43]","previouslyFormattedCitation":"[43]"},"properties":{"noteIndex":0},"schema":"https://github.com/citation-style-language/schema/raw/master/csl-citation.json"}</w:instrText>
      </w:r>
      <w:r w:rsidR="00594FFC">
        <w:rPr>
          <w:i w:val="0"/>
          <w:iCs/>
        </w:rPr>
        <w:fldChar w:fldCharType="separate"/>
      </w:r>
      <w:r w:rsidR="007D58E1" w:rsidRPr="007D58E1">
        <w:rPr>
          <w:i w:val="0"/>
          <w:iCs/>
        </w:rPr>
        <w:t>[43]</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1A2EA3">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[26,44,45]","plainTextFormattedCitation":"[26,44,45]","previouslyFormattedCitation":"[26,44,45]"},"properties":{"noteIndex":0},"schema":"https://github.com/citation-style-language/schema/raw/master/csl-citation.json"}</w:instrText>
      </w:r>
      <w:r w:rsidR="00837DD2">
        <w:rPr>
          <w:i w:val="0"/>
          <w:iCs/>
        </w:rPr>
        <w:fldChar w:fldCharType="separate"/>
      </w:r>
      <w:r w:rsidR="007D58E1" w:rsidRPr="007D58E1">
        <w:rPr>
          <w:i w:val="0"/>
          <w:iCs/>
        </w:rPr>
        <w:t>[26,44,45]</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14695900"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infected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0B862FF6">
                  <wp:extent cx="5615940" cy="1717040"/>
                  <wp:effectExtent l="0" t="0" r="0" b="0"/>
                  <wp:docPr id="37" name="Picture 37" descr="A picture containing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77F12B0"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-pseudotyped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2"/>
      <w:r w:rsidR="00455F86">
        <w:rPr>
          <w:b/>
          <w:bCs/>
        </w:rPr>
        <w:t>B</w:t>
      </w:r>
      <w:r w:rsidR="00455F86">
        <w:t>) Microscope image</w:t>
      </w:r>
      <w:r w:rsidR="005D44F7">
        <w:t xml:space="preserve"> </w:t>
      </w:r>
      <w:commentRangeEnd w:id="2"/>
      <w:r w:rsidR="006A6C09">
        <w:rPr>
          <w:rStyle w:val="CommentReference"/>
          <w:rFonts w:ascii="Times New Roman" w:hAnsi="Times New Roman"/>
          <w:lang w:bidi="ar-SA"/>
        </w:rPr>
        <w:commentReference w:id="2"/>
      </w:r>
      <w:r w:rsidR="005D44F7">
        <w:t xml:space="preserve">showing ZsGreen expression in 293T-ACE2 or 293T cells at </w:t>
      </w:r>
      <w:r w:rsidR="000702F9">
        <w:rPr>
          <w:color w:val="FF0000"/>
        </w:rPr>
        <w:t>46</w:t>
      </w:r>
      <w:r w:rsidR="005D44F7">
        <w:t xml:space="preserve"> hours after incubation with Spike-</w:t>
      </w:r>
      <w:r w:rsidR="00C951F6">
        <w:t xml:space="preserve"> or VSV</w:t>
      </w:r>
      <w:r w:rsidR="00444E0E">
        <w:t xml:space="preserve"> </w:t>
      </w:r>
      <w:r w:rsidR="00C951F6">
        <w:t>G-pseudotyped</w:t>
      </w:r>
      <w:r w:rsidR="005D44F7">
        <w:t xml:space="preserve"> lentivirus </w:t>
      </w:r>
      <w:r w:rsidR="0068017D">
        <w:t>with the</w:t>
      </w:r>
      <w:r w:rsidR="005D44F7">
        <w:t xml:space="preserve"> ZsGreen</w:t>
      </w:r>
      <w:r w:rsidR="0068017D">
        <w:t xml:space="preserve"> backbone</w:t>
      </w:r>
      <w:r w:rsidR="005D44F7">
        <w:t xml:space="preserve">. </w:t>
      </w:r>
      <w:r w:rsidR="00C951F6">
        <w:t>Cells were infected with</w:t>
      </w:r>
      <w:r w:rsidR="000702F9">
        <w:t xml:space="preserve"> equal volumes of all Spike-pseudotyped lentivirus and</w:t>
      </w:r>
      <w:r w:rsidR="00C951F6">
        <w:t xml:space="preserve"> 10-fold less </w:t>
      </w:r>
      <w:r w:rsidR="003909FC">
        <w:t xml:space="preserve">volume of </w:t>
      </w:r>
      <w:r w:rsidR="00C951F6">
        <w:t>VSV</w:t>
      </w:r>
      <w:r w:rsidR="0051533C">
        <w:t xml:space="preserve"> </w:t>
      </w:r>
      <w:r w:rsidR="00C951F6">
        <w:t>G-pseudotyped lentivirus</w:t>
      </w:r>
      <w:r w:rsidR="000702F9">
        <w:t>.</w:t>
      </w:r>
    </w:p>
    <w:p w14:paraId="52BECDDF" w14:textId="4733B3A1"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5B0DF963"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1A2EA3">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1A2EA3">
        <w:rPr>
          <w:rFonts w:ascii="Cambria Math" w:hAnsi="Cambria Math" w:cs="Cambria Math"/>
          <w:i w:val="0"/>
          <w:iCs/>
        </w:rPr>
        <w:instrText>≊</w:instrText>
      </w:r>
      <w:r w:rsidR="001A2EA3">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[46,47]","plainTextFormattedCitation":"[46,47]","previouslyFormattedCitation":"[46,47]"},"properties":{"noteIndex":0},"schema":"https://github.com/citation-style-language/schema/raw/master/csl-citation.json"}</w:instrText>
      </w:r>
      <w:r w:rsidR="00C50DDF">
        <w:rPr>
          <w:i w:val="0"/>
          <w:iCs/>
        </w:rPr>
        <w:fldChar w:fldCharType="separate"/>
      </w:r>
      <w:r w:rsidR="007D58E1" w:rsidRPr="007D58E1">
        <w:rPr>
          <w:i w:val="0"/>
          <w:iCs/>
        </w:rPr>
        <w:t>[46,47]</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r w:rsidR="002905B1">
        <w:t>pseudotyped lentiviruses</w:t>
      </w:r>
      <w:r w:rsidR="007F6277">
        <w:t xml:space="preserve"> in 293T-ACE2 cells</w:t>
      </w:r>
      <w:r w:rsidR="00DC3DD0">
        <w:t>.</w:t>
      </w:r>
      <w:r w:rsidR="002905B1">
        <w:t xml:space="preserve"> (</w:t>
      </w:r>
      <w:r w:rsidR="002905B1">
        <w:rPr>
          <w:b/>
          <w:bCs/>
        </w:rPr>
        <w:t>A</w:t>
      </w:r>
      <w:r w:rsidR="002905B1">
        <w:t>) Titers of the</w:t>
      </w:r>
      <w:r w:rsidR="00F642BE">
        <w:t xml:space="preserve"> ZsGreen backbone pseudotyped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xml:space="preserve">) Titers of the Luciferase-IRES-ZsGreen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Spike-pseudotyped viruses are the average of three 3-fold serial dilutions of virus starting at 50 uL virus in a total volume of 150 uL. For the VSV G-pseudotyped virus, RLUs per mL were averaged from two 3-fold dilutions starting at 3 uL virus in a total volume of 150 uL</w:t>
      </w:r>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pseudotyped virus with either the ZsGreen or Luciferase-IRES-ZsGreen backbone at </w:t>
      </w:r>
      <w:r w:rsidR="004B3754" w:rsidRPr="004B3754">
        <w:rPr>
          <w:color w:val="000000" w:themeColor="text1"/>
        </w:rPr>
        <w:t>60</w:t>
      </w:r>
      <w:r w:rsidR="00D0735F" w:rsidRPr="00672CA6">
        <w:rPr>
          <w:color w:val="000000" w:themeColor="text1"/>
        </w:rPr>
        <w:t xml:space="preserve"> hours post-infection. As can be seen from the images, the ZsGreen backbone gives a stronger fluorescent signal than the Luciferase-IRES-ZsGreen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3FD248CA"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1A2EA3">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[48]","plainTextFormattedCitation":"[48]","previouslyFormattedCitation":"[48]"},"properties":{"noteIndex":0},"schema":"https://github.com/citation-style-language/schema/raw/master/csl-citation.json"}</w:instrText>
      </w:r>
      <w:r w:rsidR="00C94E4B">
        <w:rPr>
          <w:i w:val="0"/>
          <w:iCs/>
          <w:color w:val="000000" w:themeColor="text1"/>
        </w:rPr>
        <w:fldChar w:fldCharType="separate"/>
      </w:r>
      <w:r w:rsidR="007D58E1" w:rsidRPr="007D58E1">
        <w:rPr>
          <w:i w:val="0"/>
          <w:iCs/>
          <w:color w:val="000000" w:themeColor="text1"/>
        </w:rPr>
        <w:t>[48]</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A07B01" w:rsidRPr="00A07B01">
        <w:rPr>
          <w:i w:val="0"/>
          <w:iCs/>
          <w:color w:val="FF0000"/>
        </w:rPr>
        <w:t>X</w:t>
      </w:r>
      <w:r w:rsidR="00A07B01">
        <w:rPr>
          <w:i w:val="0"/>
          <w:iCs/>
          <w:color w:val="000000" w:themeColor="text1"/>
        </w:rPr>
        <w:t xml:space="preserve"> </w:t>
      </w:r>
      <w:r w:rsidR="00A07B01">
        <w:rPr>
          <w:i w:val="0"/>
          <w:iCs/>
          <w:color w:val="000000" w:themeColor="text1"/>
        </w:rPr>
        <w:lastRenderedPageBreak/>
        <w:t xml:space="preserve">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1F9EAE66" w:rsidR="00D90B27" w:rsidRPr="00325902" w:rsidRDefault="00BC73D3" w:rsidP="005E53B6">
            <w:pPr>
              <w:pStyle w:val="MDPI52figure"/>
              <w:adjustRightInd w:val="0"/>
              <w:snapToGrid w:val="0"/>
              <w:rPr>
                <w:sz w:val="20"/>
              </w:rPr>
            </w:pPr>
            <w:r>
              <w:rPr>
                <w:noProof/>
                <w:snapToGrid/>
                <w:sz w:val="20"/>
              </w:rPr>
              <w:drawing>
                <wp:inline distT="0" distB="0" distL="0" distR="0" wp14:anchorId="259552E7" wp14:editId="6C9A2535">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029A03E1"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9425DC">
        <w:t xml:space="preserve"> </w:t>
      </w:r>
      <w:r>
        <w:t xml:space="preserve"> </w:t>
      </w:r>
    </w:p>
    <w:p w14:paraId="6E0F6193" w14:textId="1115092A"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For soluble ACE2</w:t>
      </w:r>
      <w:r w:rsidR="000E6111">
        <w:rPr>
          <w:b w:val="0"/>
          <w:bCs/>
          <w:color w:val="000000" w:themeColor="text1"/>
        </w:rPr>
        <w:t>-Fc</w:t>
      </w:r>
      <w:r w:rsidRPr="00F85C43">
        <w:rPr>
          <w:b w:val="0"/>
          <w:bCs/>
          <w:color w:val="000000" w:themeColor="text1"/>
        </w:rPr>
        <w:t xml:space="preserve">, the IC50 was </w:t>
      </w:r>
      <w:r w:rsidRPr="002A1D63">
        <w:rPr>
          <w:b w:val="0"/>
          <w:bCs/>
          <w:color w:val="FF0000"/>
        </w:rPr>
        <w:t>X</w:t>
      </w:r>
      <w:r w:rsidRPr="00F85C43">
        <w:rPr>
          <w:b w:val="0"/>
          <w:bCs/>
          <w:color w:val="000000" w:themeColor="text1"/>
        </w:rPr>
        <w:t xml:space="preserve"> which is </w:t>
      </w:r>
      <w:commentRangeStart w:id="5"/>
      <w:commentRangeStart w:id="6"/>
      <w:commentRangeStart w:id="7"/>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1A2EA3">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[48]","plainTextFormattedCitation":"[48]","previouslyFormattedCitation":"[48]"},"properties":{"noteIndex":0},"schema":"https://github.com/citation-style-language/schema/raw/master/csl-citation.json"}</w:instrText>
      </w:r>
      <w:r w:rsidR="009573FA">
        <w:rPr>
          <w:b w:val="0"/>
          <w:bCs/>
          <w:color w:val="000000" w:themeColor="text1"/>
        </w:rPr>
        <w:fldChar w:fldCharType="separate"/>
      </w:r>
      <w:r w:rsidR="007D58E1" w:rsidRPr="007D58E1">
        <w:rPr>
          <w:b w:val="0"/>
          <w:bCs/>
          <w:noProof/>
          <w:color w:val="000000" w:themeColor="text1"/>
        </w:rPr>
        <w:t>[48]</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commentRangeEnd w:id="6"/>
      <w:r w:rsidR="000702F9">
        <w:rPr>
          <w:rStyle w:val="CommentReference"/>
          <w:rFonts w:ascii="Times New Roman" w:hAnsi="Times New Roman"/>
          <w:b w:val="0"/>
          <w:snapToGrid/>
          <w:lang w:bidi="ar-SA"/>
        </w:rPr>
        <w:commentReference w:id="6"/>
      </w:r>
      <w:commentRangeEnd w:id="7"/>
      <w:r w:rsidR="007A10FA">
        <w:rPr>
          <w:rStyle w:val="CommentReference"/>
          <w:rFonts w:ascii="Times New Roman" w:hAnsi="Times New Roman"/>
          <w:b w:val="0"/>
          <w:snapToGrid/>
          <w:lang w:bidi="ar-SA"/>
        </w:rPr>
        <w:commentReference w:id="7"/>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Of note, the virus pseudotyped with Spike-HAtail</w:t>
      </w:r>
      <w:r w:rsidR="001E516B">
        <w:rPr>
          <w:b w:val="0"/>
          <w:bCs/>
          <w:color w:val="000000" w:themeColor="text1"/>
        </w:rPr>
        <w:t xml:space="preserve"> yielded lower IC50s than the virus pseudotyped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807FFC3" w:rsidR="00662F73" w:rsidRDefault="00EF5104" w:rsidP="007B5FA4">
      <w:pPr>
        <w:pStyle w:val="MDPI21heading1"/>
        <w:rPr>
          <w:b w:val="0"/>
          <w:bCs/>
          <w:lang w:eastAsia="zh-CN"/>
        </w:rPr>
      </w:pPr>
      <w:r>
        <w:rPr>
          <w:b w:val="0"/>
          <w:bCs/>
          <w:lang w:eastAsia="zh-CN"/>
        </w:rPr>
        <w:t xml:space="preserve">Here we describe a detailed protocol for making SARS-CoV-2 Spike-pseudotyped lentivirus and using this virus to </w:t>
      </w:r>
      <w:r w:rsidR="00630FBE">
        <w:rPr>
          <w:b w:val="0"/>
          <w:bCs/>
          <w:lang w:eastAsia="zh-CN"/>
        </w:rPr>
        <w:t xml:space="preserve">measure </w:t>
      </w:r>
      <w:r w:rsidR="005F62B7">
        <w:rPr>
          <w:b w:val="0"/>
          <w:bCs/>
          <w:lang w:eastAsia="zh-CN"/>
        </w:rPr>
        <w:t>neutralization of</w:t>
      </w:r>
      <w:r>
        <w:rPr>
          <w:b w:val="0"/>
          <w:bCs/>
          <w:lang w:eastAsia="zh-CN"/>
        </w:rPr>
        <w:t xml:space="preserve"> SARS-CoV-2.</w:t>
      </w:r>
      <w:r w:rsidR="007E05E2">
        <w:rPr>
          <w:b w:val="0"/>
          <w:bCs/>
          <w:lang w:eastAsia="zh-CN"/>
        </w:rPr>
        <w:t xml:space="preserve"> While the basic approach of pseudotyping viruses with Spike is clearly not novel, this is the first detailed protocol that makes all reagents available in a public repository. </w:t>
      </w:r>
      <w:r w:rsidR="008334F2">
        <w:rPr>
          <w:b w:val="0"/>
          <w:bCs/>
          <w:lang w:eastAsia="zh-CN"/>
        </w:rPr>
        <w:t>We hope that the protocol and reagents will be a useful resource to enable others in the scientific community to assess neutralizing antibodies to SARS-CoV-2.</w:t>
      </w:r>
      <w:r w:rsidR="005F62B7">
        <w:rPr>
          <w:b w:val="0"/>
          <w:bCs/>
          <w:lang w:eastAsia="zh-CN"/>
        </w:rPr>
        <w:t xml:space="preserve"> </w:t>
      </w:r>
    </w:p>
    <w:p w14:paraId="33DECC53" w14:textId="073803F3" w:rsidR="00041425" w:rsidRDefault="008334F2" w:rsidP="007B5FA4">
      <w:pPr>
        <w:pStyle w:val="MDPI21heading1"/>
        <w:rPr>
          <w:b w:val="0"/>
          <w:bCs/>
          <w:lang w:eastAsia="zh-CN"/>
        </w:rPr>
      </w:pPr>
      <w:r>
        <w:rPr>
          <w:b w:val="0"/>
          <w:bCs/>
          <w:lang w:eastAsia="zh-CN"/>
        </w:rPr>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sufficient titers of Spike-pseudotyped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substantially altered the neutralization sensitivity of the pseudotyped viruses, suggesting it may </w:t>
      </w:r>
      <w:r w:rsidR="002E40F9">
        <w:rPr>
          <w:b w:val="0"/>
          <w:bCs/>
          <w:lang w:eastAsia="zh-CN"/>
        </w:rPr>
        <w:t>be undesirable. While we obviously did not test the full suite of cytoplasmic tail modifications that have been used for pseudotyping of Spike from the original SARS-CoV</w:t>
      </w:r>
      <w:r w:rsidR="00AE1D71">
        <w:rPr>
          <w:b w:val="0"/>
          <w:bCs/>
          <w:lang w:eastAsia="zh-CN"/>
        </w:rPr>
        <w:t xml:space="preserve"> </w:t>
      </w:r>
      <w:r w:rsidR="00AE1D71" w:rsidRPr="00C949FF">
        <w:rPr>
          <w:b w:val="0"/>
          <w:bCs/>
          <w:i/>
          <w:iCs/>
        </w:rPr>
        <w:fldChar w:fldCharType="begin" w:fldLock="1"/>
      </w:r>
      <w:r w:rsidR="001A2EA3">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[26,44,45]","plainTextFormattedCitation":"[26,44,45]","previouslyFormattedCitation":"[26,44,45]"},"properties":{"noteIndex":0},"schema":"https://github.com/citation-style-language/schema/raw/master/csl-citation.json"}</w:instrText>
      </w:r>
      <w:r w:rsidR="00AE1D71" w:rsidRPr="00C949FF">
        <w:rPr>
          <w:b w:val="0"/>
          <w:bCs/>
          <w:i/>
          <w:iCs/>
        </w:rPr>
        <w:fldChar w:fldCharType="separate"/>
      </w:r>
      <w:r w:rsidR="00AE1D71" w:rsidRPr="00C949FF">
        <w:rPr>
          <w:b w:val="0"/>
          <w:bCs/>
          <w:iCs/>
          <w:noProof/>
        </w:rPr>
        <w:t>[26,44,45]</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should be made and tested with caution</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D03136">
      <w:pPr>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Genbank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HDM-IDTSpike-fixK-HA-tail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 xml:space="preserve">the Spike from SARS-CoV-2 strain Wuhan-Hu-1 (Genbank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HDM-IDTSpike-</w:t>
      </w:r>
      <w:r w:rsidR="0025646C">
        <w:rPr>
          <w:rFonts w:ascii="Palatino Linotype" w:hAnsi="Palatino Linotype"/>
          <w:color w:val="auto"/>
          <w:sz w:val="18"/>
          <w:szCs w:val="18"/>
          <w:lang w:eastAsia="en-US"/>
        </w:rPr>
        <w:t>fixK (BEI catalog number NR-52514):</w:t>
      </w:r>
      <w:r w:rsidR="00560B95">
        <w:rPr>
          <w:rFonts w:ascii="Palatino Linotype" w:hAnsi="Palatino Linotype"/>
          <w:color w:val="auto"/>
          <w:sz w:val="18"/>
          <w:szCs w:val="18"/>
          <w:lang w:eastAsia="en-US"/>
        </w:rPr>
        <w:t xml:space="preserve"> plasmid expressing under a CMV promoter the Spike from SARS-CoV-2 strain Wuhan-Hu-1 (Genbank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HDM-nCoV-Spike-IDTopt-ALAYT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(Genbank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ZsGreen.</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ZsGreen.</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pseudotyped with VSV G. However, numerous VSV G expressing plasmids are available from AddGene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 xml:space="preserve">VSV G-pseudotyped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pseudotyped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r>
        <w:rPr>
          <w:bCs/>
        </w:rPr>
        <w:t>Pseudotyped</w:t>
      </w:r>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production. We transfect using BioT</w:t>
      </w:r>
      <w:r w:rsidR="00B26596">
        <w:rPr>
          <w:bCs/>
        </w:rPr>
        <w:t xml:space="preserve"> (Bioland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r w:rsidRPr="00B26596">
        <w:rPr>
          <w:bCs/>
        </w:rPr>
        <w:t>ZsGreen</w:t>
      </w:r>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Luciferase-IRES-ZsGreen</w:t>
      </w:r>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lastRenderedPageBreak/>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 xml:space="preserve">The titers of Spike- and VSV G-pseudotyped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4.4 Detailed protocol for titering pseudotyped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ZsGreen backbone) or a luciferase assay (for viruses packaging the Luciferase-IRES-ZsGreen backbone). </w:t>
      </w:r>
      <w:r w:rsidR="00F56795">
        <w:rPr>
          <w:bCs/>
          <w:color w:val="000000" w:themeColor="text1"/>
        </w:rPr>
        <w:t>A detailed</w:t>
      </w:r>
      <w:r>
        <w:rPr>
          <w:bCs/>
          <w:color w:val="000000" w:themeColor="text1"/>
        </w:rPr>
        <w:t xml:space="preserve"> </w:t>
      </w:r>
      <w:r w:rsidR="00936CDB">
        <w:rPr>
          <w:bCs/>
          <w:color w:val="000000" w:themeColor="text1"/>
        </w:rPr>
        <w:t>titering</w:t>
      </w:r>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uL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r w:rsidR="003A752F">
        <w:rPr>
          <w:bCs/>
          <w:color w:val="000000" w:themeColor="text1"/>
        </w:rPr>
        <w:t>titered</w:t>
      </w:r>
      <w:r>
        <w:rPr>
          <w:bCs/>
          <w:color w:val="000000" w:themeColor="text1"/>
        </w:rPr>
        <w:t xml:space="preserve"> in a final volume of 150 uL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For ZsGreen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 xml:space="preserve">For Spike-pseudotyped Luciferase_IRES_ZsGreen virus, we started with undiluted virus and made </w:t>
      </w:r>
      <w:r w:rsidR="00954C03">
        <w:rPr>
          <w:bCs/>
          <w:color w:val="000000" w:themeColor="text1"/>
        </w:rPr>
        <w:t>three</w:t>
      </w:r>
      <w:r>
        <w:rPr>
          <w:bCs/>
          <w:color w:val="000000" w:themeColor="text1"/>
        </w:rPr>
        <w:t xml:space="preserve"> 1:3 dilutions. For VSV G-pseudotyped Luciferase_IRES_ZsGreen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05AB40CA"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ug/mL.</w:t>
      </w:r>
      <w:r w:rsidR="00477144">
        <w:rPr>
          <w:bCs/>
          <w:color w:val="000000" w:themeColor="text1"/>
        </w:rPr>
        <w:t xml:space="preserve"> We did this by adding 3 uL of polybrene diluted to 250 ug/mL to our final infection volume of 150 uL.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1A2EA3">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Biotechnology","id":"ITEM-1","issued":{"date-parts":[["2013"]]},"title":"Optimization of the transductional efficiency of lentiviral vectors: Effect of sera and polycations","type":"article-journal"},"uris":["http://www.mendeley.com/documents/?uuid=f3cffc02-1507-4be8-8450-46e25be8321f"]}],"mendeley":{"formattedCitation":"[49]","plainTextFormattedCitation":"[49]","previouslyFormattedCitation":"[49]"},"properties":{"noteIndex":0},"schema":"https://github.com/citation-style-language/schema/raw/master/csl-citation.json"}</w:instrText>
      </w:r>
      <w:r w:rsidR="001274F8" w:rsidRPr="001274F8">
        <w:rPr>
          <w:bCs/>
          <w:color w:val="000000" w:themeColor="text1"/>
        </w:rPr>
        <w:fldChar w:fldCharType="separate"/>
      </w:r>
      <w:r w:rsidR="007D58E1" w:rsidRPr="007D58E1">
        <w:rPr>
          <w:bCs/>
          <w:noProof/>
          <w:color w:val="000000" w:themeColor="text1"/>
        </w:rPr>
        <w:t>[49]</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ZsGreen in the FITC channel. Resulting FCS files were analyzed using FlowJo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ZsGreen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ZsGreen positive is low, this formula is approximately equal to: </w:t>
      </w:r>
      <w:r w:rsidR="0017185F" w:rsidRPr="0017185F">
        <w:rPr>
          <w:bCs/>
          <w:i/>
          <w:iCs/>
          <w:color w:val="000000" w:themeColor="text1"/>
        </w:rPr>
        <w:t>(</w:t>
      </w:r>
      <w:r w:rsidR="00F56795" w:rsidRPr="0017185F">
        <w:rPr>
          <w:bCs/>
          <w:i/>
          <w:iCs/>
          <w:color w:val="000000" w:themeColor="text1"/>
        </w:rPr>
        <w:t>% ZsGreen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ZsGreen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uL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~30 uL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Add 30 uL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uL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1365579C"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commentRangeStart w:id="8"/>
      <w:commentRangeStart w:id="9"/>
      <w:commentRangeStart w:id="10"/>
      <w:r>
        <w:rPr>
          <w:bCs/>
          <w:color w:val="000000" w:themeColor="text1"/>
        </w:rPr>
        <w:t>(</w:t>
      </w:r>
      <w:r w:rsidRPr="003E013A">
        <w:rPr>
          <w:bCs/>
          <w:color w:val="FF0000"/>
        </w:rPr>
        <w:t>plate reader specs</w:t>
      </w:r>
      <w:r>
        <w:rPr>
          <w:bCs/>
          <w:color w:val="000000" w:themeColor="text1"/>
        </w:rPr>
        <w:t>)</w:t>
      </w:r>
      <w:commentRangeEnd w:id="8"/>
      <w:r w:rsidR="006E166B">
        <w:rPr>
          <w:rStyle w:val="CommentReference"/>
          <w:rFonts w:ascii="Times New Roman" w:hAnsi="Times New Roman"/>
          <w:snapToGrid/>
          <w:lang w:eastAsia="de-DE" w:bidi="ar-SA"/>
        </w:rPr>
        <w:commentReference w:id="8"/>
      </w:r>
      <w:commentRangeEnd w:id="9"/>
      <w:r w:rsidR="00B94DAC">
        <w:rPr>
          <w:rStyle w:val="CommentReference"/>
          <w:rFonts w:ascii="Times New Roman" w:hAnsi="Times New Roman"/>
          <w:snapToGrid/>
          <w:lang w:eastAsia="de-DE" w:bidi="ar-SA"/>
        </w:rPr>
        <w:commentReference w:id="9"/>
      </w:r>
      <w:commentRangeEnd w:id="10"/>
      <w:r w:rsidR="0048493D">
        <w:rPr>
          <w:rStyle w:val="CommentReference"/>
          <w:rFonts w:ascii="Times New Roman" w:hAnsi="Times New Roman"/>
          <w:snapToGrid/>
          <w:lang w:eastAsia="de-DE" w:bidi="ar-SA"/>
        </w:rPr>
        <w:commentReference w:id="10"/>
      </w:r>
      <w:r w:rsidR="00477144">
        <w:rPr>
          <w:bCs/>
          <w:color w:val="000000" w:themeColor="text1"/>
        </w:rPr>
        <w:t xml:space="preserve"> with a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lastRenderedPageBreak/>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4517FF5F" w:rsidR="00DA15EA" w:rsidRPr="00325902" w:rsidRDefault="00C37DFB" w:rsidP="00AD6D57">
            <w:pPr>
              <w:pStyle w:val="MDPI52figure"/>
              <w:adjustRightInd w:val="0"/>
              <w:snapToGrid w:val="0"/>
              <w:rPr>
                <w:sz w:val="20"/>
              </w:rPr>
            </w:pPr>
            <w:r>
              <w:rPr>
                <w:noProof/>
                <w:snapToGrid/>
              </w:rPr>
              <w:drawing>
                <wp:inline distT="0" distB="0" distL="0" distR="0" wp14:anchorId="44ACB1C8" wp14:editId="75F90680">
                  <wp:extent cx="2485169" cy="2203938"/>
                  <wp:effectExtent l="0" t="0" r="4445" b="0"/>
                  <wp:docPr id="39" name="Picture 3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y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6049" cy="2222455"/>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52186345" w:rsidR="00DA15EA" w:rsidRPr="00BC73D3" w:rsidRDefault="00BC73D3" w:rsidP="000B4C54">
      <w:pPr>
        <w:pStyle w:val="MDPI61Supplementary"/>
        <w:rPr>
          <w:bCs/>
        </w:rPr>
      </w:pPr>
      <w:commentRangeStart w:id="11"/>
      <w:r>
        <w:rPr>
          <w:b/>
        </w:rPr>
        <w:t xml:space="preserve">Figure 5: </w:t>
      </w:r>
      <w:commentRangeEnd w:id="11"/>
      <w:r w:rsidR="00726800">
        <w:rPr>
          <w:rStyle w:val="CommentReference"/>
          <w:rFonts w:ascii="Times New Roman" w:hAnsi="Times New Roman"/>
          <w:snapToGrid/>
          <w:lang w:eastAsia="de-DE" w:bidi="ar-SA"/>
        </w:rPr>
        <w:commentReference w:id="11"/>
      </w:r>
      <w:r>
        <w:rPr>
          <w:bCs/>
        </w:rPr>
        <w:t>Example plate layout for neutralization assays.</w:t>
      </w:r>
      <w:r w:rsidR="00820D4F">
        <w:rPr>
          <w:bCs/>
        </w:rPr>
        <w:t xml:space="preserve"> It is possible to run full-dilution series of two serum or plasma samples</w:t>
      </w:r>
      <w:r w:rsidR="00312AA5">
        <w:rPr>
          <w:bCs/>
        </w:rPr>
        <w:t xml:space="preserve"> in duplciate</w:t>
      </w:r>
      <w:r w:rsidR="00820D4F">
        <w:rPr>
          <w:bCs/>
        </w:rPr>
        <w:t xml:space="preserve"> on each plate with the necessary controls. These controls include media only, cells only, and virus only wells, as well as 4 wells of virus infecting 293T cells to confirm </w:t>
      </w:r>
      <w:r w:rsidR="006C4D52">
        <w:rPr>
          <w:bCs/>
        </w:rPr>
        <w:t xml:space="preserve">the lack of infection with Spike-pseudotyped lentivirus in the absence of ACE2. These wells provide the background signal. The virus + cells wells represent maximum infection without any serum and provide a metric for 100% viral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Spike-pseudotyped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uL</w:t>
      </w:r>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215DD1AC"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serially dilute serum samples leaving 60 uL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BC73D3">
        <w:t>3</w:t>
      </w:r>
      <w:r w:rsidR="00191BDC">
        <w:t>0</w:t>
      </w:r>
      <w:r w:rsidR="00BC73D3">
        <w:t xml:space="preserve"> and did </w:t>
      </w:r>
      <w:r w:rsidR="00022890">
        <w:t xml:space="preserve">serial </w:t>
      </w:r>
      <w:r w:rsidR="00BC73D3">
        <w:t>1:2 dilutions</w:t>
      </w:r>
      <w:r w:rsidR="00191BDC">
        <w:t xml:space="preserve">, meaning each replicate of the assay requires </w:t>
      </w:r>
      <w:r w:rsidR="00BC73D3">
        <w:t>8</w:t>
      </w:r>
      <w:r w:rsidR="00191BDC">
        <w:t xml:space="preserve"> uL of sera. </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uL of D10 to </w:t>
      </w:r>
      <w:r>
        <w:t xml:space="preserve">wells corresponding to </w:t>
      </w:r>
      <w:r w:rsidRPr="00191BDC">
        <w:t xml:space="preserve">virus only and virus </w:t>
      </w:r>
      <w:r>
        <w:t xml:space="preserve">plus cells control wells. Add 120 uL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r w:rsidR="00997A19">
        <w:rPr>
          <w:bCs/>
        </w:rPr>
        <w:t>mL</w:t>
      </w:r>
      <w:r w:rsidR="00712845">
        <w:rPr>
          <w:bCs/>
        </w:rPr>
        <w:t xml:space="preserve">. Add </w:t>
      </w:r>
      <w:r w:rsidR="00997A19">
        <w:rPr>
          <w:bCs/>
        </w:rPr>
        <w:t xml:space="preserve">60 uL of </w:t>
      </w:r>
      <w:r w:rsidR="00712845">
        <w:rPr>
          <w:bCs/>
        </w:rPr>
        <w:t xml:space="preserve">diluted </w:t>
      </w:r>
      <w:r w:rsidR="00997A19">
        <w:rPr>
          <w:bCs/>
        </w:rPr>
        <w:t xml:space="preserve">virus to </w:t>
      </w:r>
      <w:r w:rsidR="007955C3">
        <w:rPr>
          <w:bCs/>
        </w:rPr>
        <w:t>all of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uL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r w:rsidR="00820D4F" w:rsidRPr="00820D4F">
        <w:rPr>
          <w:rFonts w:ascii="Courier New" w:hAnsi="Courier New" w:cs="Courier New"/>
          <w:bCs/>
        </w:rPr>
        <w:t>n</w:t>
      </w:r>
      <w:r w:rsidR="00820D4F">
        <w:rPr>
          <w:rFonts w:ascii="Courier New" w:hAnsi="Courier New" w:cs="Courier New"/>
          <w:bCs/>
        </w:rPr>
        <w:t>eutcurve</w:t>
      </w:r>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4FFE79BE"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w:t>
      </w:r>
      <w:r w:rsidR="007920B0">
        <w:rPr>
          <w:bCs/>
        </w:rPr>
        <w:lastRenderedPageBreak/>
        <w:t>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1A2EA3">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[22,50]","plainTextFormattedCitation":"[22,50]","previouslyFormattedCitation":"[22,50]"},"properties":{"noteIndex":0},"schema":"https://github.com/citation-style-language/schema/raw/master/csl-citation.json"}</w:instrText>
      </w:r>
      <w:r w:rsidR="007425C5">
        <w:rPr>
          <w:bCs/>
        </w:rPr>
        <w:fldChar w:fldCharType="separate"/>
      </w:r>
      <w:r w:rsidR="007D58E1" w:rsidRPr="007D58E1">
        <w:rPr>
          <w:bCs/>
          <w:noProof/>
        </w:rPr>
        <w:t>[22,50]</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820D4F">
        <w:rPr>
          <w:bCs/>
        </w:rPr>
        <w:t>serum collected 2017-2018 is lot</w:t>
      </w:r>
      <w:r w:rsidR="00820D4F" w:rsidRPr="00820D4F">
        <w:rPr>
          <w:bCs/>
        </w:rPr>
        <w:t xml:space="preserve"> H86W03J </w:t>
      </w:r>
      <w:r w:rsidR="00820D4F">
        <w:rPr>
          <w:bCs/>
        </w:rPr>
        <w:t xml:space="preserve">and the 2008-2015 serum is </w:t>
      </w:r>
      <w:r w:rsidR="00820D4F" w:rsidRPr="00820D4F">
        <w:rPr>
          <w:bCs/>
        </w:rPr>
        <w:t>H87W00K</w:t>
      </w:r>
      <w:r w:rsidR="00820D4F">
        <w:rPr>
          <w:bCs/>
        </w:rPr>
        <w:t xml:space="preserve">. The age-matched negative control serum (FH005DJ and FH010WB) came from </w:t>
      </w:r>
      <w:commentRangeStart w:id="12"/>
      <w:r w:rsidR="007920B0">
        <w:rPr>
          <w:bCs/>
          <w:color w:val="FF0000"/>
        </w:rPr>
        <w:t>Kate, add details about negative control sera.</w:t>
      </w:r>
      <w:r w:rsidR="00FF32C4">
        <w:rPr>
          <w:bCs/>
        </w:rPr>
        <w:t xml:space="preserve"> </w:t>
      </w:r>
      <w:commentRangeEnd w:id="12"/>
      <w:r w:rsidR="007561CC">
        <w:rPr>
          <w:rStyle w:val="CommentReference"/>
          <w:rFonts w:ascii="Times New Roman" w:hAnsi="Times New Roman"/>
          <w:snapToGrid/>
          <w:lang w:eastAsia="de-DE" w:bidi="ar-SA"/>
        </w:rPr>
        <w:commentReference w:id="12"/>
      </w:r>
    </w:p>
    <w:p w14:paraId="242E32F3" w14:textId="414D3F1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A zip file containing all the plasmid maps in Genbank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r w:rsidR="008B4754">
        <w:t xml:space="preserve">Caelan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The authors declare no conflict of interest</w:t>
      </w:r>
      <w:r w:rsidR="006B7F42">
        <w:t>.</w:t>
      </w:r>
    </w:p>
    <w:p w14:paraId="19F0E6E6" w14:textId="77777777" w:rsidR="00181401" w:rsidRPr="00325902" w:rsidRDefault="00181401" w:rsidP="00181401">
      <w:pPr>
        <w:pStyle w:val="MDPI21heading1"/>
      </w:pPr>
      <w:r w:rsidRPr="00325902">
        <w:t>References</w:t>
      </w:r>
    </w:p>
    <w:p w14:paraId="56B082F7" w14:textId="091EB724" w:rsidR="001A2EA3" w:rsidRPr="001A2EA3" w:rsidRDefault="00F15C55" w:rsidP="001A2EA3">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1A2EA3" w:rsidRPr="001A2EA3">
        <w:rPr>
          <w:rFonts w:ascii="Palatino Linotype" w:hAnsi="Palatino Linotype"/>
          <w:noProof/>
          <w:sz w:val="18"/>
        </w:rPr>
        <w:t xml:space="preserve">1. </w:t>
      </w:r>
      <w:r w:rsidR="001A2EA3" w:rsidRPr="001A2EA3">
        <w:rPr>
          <w:rFonts w:ascii="Palatino Linotype" w:hAnsi="Palatino Linotype"/>
          <w:noProof/>
          <w:sz w:val="18"/>
        </w:rPr>
        <w:tab/>
        <w:t xml:space="preserve">Ju, B.; Zhang, Q.; Ge, X.; Wang, R.; Yu, J.; Shan, S.; Zhou, B.; Song, S.; Tang, X.; Yu, J.; et al. Potent human neutralizing antibodies elicited by SARS-CoV-2 infection. </w:t>
      </w:r>
      <w:r w:rsidR="001A2EA3" w:rsidRPr="001A2EA3">
        <w:rPr>
          <w:rFonts w:ascii="Palatino Linotype" w:hAnsi="Palatino Linotype"/>
          <w:i/>
          <w:iCs/>
          <w:noProof/>
          <w:sz w:val="18"/>
        </w:rPr>
        <w:t>bioRxiv</w:t>
      </w:r>
      <w:r w:rsidR="001A2EA3" w:rsidRPr="001A2EA3">
        <w:rPr>
          <w:rFonts w:ascii="Palatino Linotype" w:hAnsi="Palatino Linotype"/>
          <w:noProof/>
          <w:sz w:val="18"/>
        </w:rPr>
        <w:t xml:space="preserve"> </w:t>
      </w:r>
      <w:r w:rsidR="001A2EA3" w:rsidRPr="001A2EA3">
        <w:rPr>
          <w:rFonts w:ascii="Palatino Linotype" w:hAnsi="Palatino Linotype"/>
          <w:b/>
          <w:bCs/>
          <w:noProof/>
          <w:sz w:val="18"/>
        </w:rPr>
        <w:t>2020</w:t>
      </w:r>
      <w:r w:rsidR="001A2EA3" w:rsidRPr="001A2EA3">
        <w:rPr>
          <w:rFonts w:ascii="Palatino Linotype" w:hAnsi="Palatino Linotype"/>
          <w:noProof/>
          <w:sz w:val="18"/>
        </w:rPr>
        <w:t>, doi:10.1101/2020.03.21.990770.</w:t>
      </w:r>
    </w:p>
    <w:p w14:paraId="4C9D13E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 </w:t>
      </w:r>
      <w:r w:rsidRPr="001A2EA3">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doi:10.1101/2020.03.24.006544.</w:t>
      </w:r>
    </w:p>
    <w:p w14:paraId="4111340C"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 </w:t>
      </w:r>
      <w:r w:rsidRPr="001A2EA3">
        <w:rPr>
          <w:rFonts w:ascii="Palatino Linotype" w:hAnsi="Palatino Linotype"/>
          <w:noProof/>
          <w:sz w:val="18"/>
        </w:rPr>
        <w:tab/>
        <w:t xml:space="preserve">Zhao, J.; Yuan, Q.; Wang, H.; Liu, W.; Liao, X.; Su, Y.; Wang, X.; Yuan, J.; Li, T.; Li, J.; et al. Antibody Responses to SARS-CoV-2 in Patients of Novel Coronavirus Disease 2019. </w:t>
      </w:r>
      <w:r w:rsidRPr="001A2EA3">
        <w:rPr>
          <w:rFonts w:ascii="Palatino Linotype" w:hAnsi="Palatino Linotype"/>
          <w:i/>
          <w:iCs/>
          <w:noProof/>
          <w:sz w:val="18"/>
        </w:rPr>
        <w:t>SSRN Electron. J.</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doi:10.2139/ssrn.3546052.</w:t>
      </w:r>
    </w:p>
    <w:p w14:paraId="4C0693DD"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 </w:t>
      </w:r>
      <w:r w:rsidRPr="001A2EA3">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1A2EA3">
        <w:rPr>
          <w:rFonts w:ascii="Palatino Linotype" w:hAnsi="Palatino Linotype"/>
          <w:i/>
          <w:iCs/>
          <w:noProof/>
          <w:sz w:val="18"/>
        </w:rPr>
        <w:t>medRxiv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doi:10.1101/2020.03.30.20047365.</w:t>
      </w:r>
    </w:p>
    <w:p w14:paraId="33636784"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5. </w:t>
      </w:r>
      <w:r w:rsidRPr="001A2EA3">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1A2EA3">
        <w:rPr>
          <w:rFonts w:ascii="Palatino Linotype" w:hAnsi="Palatino Linotype"/>
          <w:i/>
          <w:iCs/>
          <w:noProof/>
          <w:sz w:val="18"/>
        </w:rPr>
        <w:t>medRxiv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doi:10.1101/2020.03.18.20038018.</w:t>
      </w:r>
    </w:p>
    <w:p w14:paraId="078711D1"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6. </w:t>
      </w:r>
      <w:r w:rsidRPr="001A2EA3">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1A2EA3">
        <w:rPr>
          <w:rFonts w:ascii="Palatino Linotype" w:hAnsi="Palatino Linotype"/>
          <w:i/>
          <w:iCs/>
          <w:noProof/>
          <w:sz w:val="18"/>
        </w:rPr>
        <w:t>Emerg. Infect. Dis.</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doi:10.3201/eid2607.200841.</w:t>
      </w:r>
    </w:p>
    <w:p w14:paraId="63C330C0"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7. </w:t>
      </w:r>
      <w:r w:rsidRPr="001A2EA3">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1A2EA3">
        <w:rPr>
          <w:rFonts w:ascii="Palatino Linotype" w:hAnsi="Palatino Linotype"/>
          <w:i/>
          <w:iCs/>
          <w:noProof/>
          <w:sz w:val="18"/>
        </w:rPr>
        <w:t>PLoS Pathog.</w:t>
      </w:r>
      <w:r w:rsidRPr="001A2EA3">
        <w:rPr>
          <w:rFonts w:ascii="Palatino Linotype" w:hAnsi="Palatino Linotype"/>
          <w:noProof/>
          <w:sz w:val="18"/>
        </w:rPr>
        <w:t xml:space="preserve"> </w:t>
      </w:r>
      <w:r w:rsidRPr="001A2EA3">
        <w:rPr>
          <w:rFonts w:ascii="Palatino Linotype" w:hAnsi="Palatino Linotype"/>
          <w:b/>
          <w:bCs/>
          <w:noProof/>
          <w:sz w:val="18"/>
        </w:rPr>
        <w:t>2017</w:t>
      </w:r>
      <w:r w:rsidRPr="001A2EA3">
        <w:rPr>
          <w:rFonts w:ascii="Palatino Linotype" w:hAnsi="Palatino Linotype"/>
          <w:noProof/>
          <w:sz w:val="18"/>
        </w:rPr>
        <w:t>, doi:10.1371/journal.ppat.1006601.</w:t>
      </w:r>
    </w:p>
    <w:p w14:paraId="52322DEF"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lastRenderedPageBreak/>
        <w:t xml:space="preserve">8. </w:t>
      </w:r>
      <w:r w:rsidRPr="001A2EA3">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6A19112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9. </w:t>
      </w:r>
      <w:r w:rsidRPr="001A2EA3">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1A2EA3">
        <w:rPr>
          <w:rFonts w:ascii="Palatino Linotype" w:hAnsi="Palatino Linotype"/>
          <w:i/>
          <w:iCs/>
          <w:noProof/>
          <w:sz w:val="18"/>
        </w:rPr>
        <w:t>Nat. Rev. Microbiol.</w:t>
      </w:r>
      <w:r w:rsidRPr="001A2EA3">
        <w:rPr>
          <w:rFonts w:ascii="Palatino Linotype" w:hAnsi="Palatino Linotype"/>
          <w:noProof/>
          <w:sz w:val="18"/>
        </w:rPr>
        <w:t xml:space="preserve"> 2008.</w:t>
      </w:r>
    </w:p>
    <w:p w14:paraId="5EB3CB2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10. </w:t>
      </w:r>
      <w:r w:rsidRPr="001A2EA3">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1A2EA3">
        <w:rPr>
          <w:rFonts w:ascii="Palatino Linotype" w:hAnsi="Palatino Linotype"/>
          <w:i/>
          <w:iCs/>
          <w:noProof/>
          <w:sz w:val="18"/>
        </w:rPr>
        <w:t>Cell Host Microbe</w:t>
      </w:r>
      <w:r w:rsidRPr="001A2EA3">
        <w:rPr>
          <w:rFonts w:ascii="Palatino Linotype" w:hAnsi="Palatino Linotype"/>
          <w:noProof/>
          <w:sz w:val="18"/>
        </w:rPr>
        <w:t xml:space="preserve"> </w:t>
      </w:r>
      <w:r w:rsidRPr="001A2EA3">
        <w:rPr>
          <w:rFonts w:ascii="Palatino Linotype" w:hAnsi="Palatino Linotype"/>
          <w:b/>
          <w:bCs/>
          <w:noProof/>
          <w:sz w:val="18"/>
        </w:rPr>
        <w:t>2018</w:t>
      </w:r>
      <w:r w:rsidRPr="001A2EA3">
        <w:rPr>
          <w:rFonts w:ascii="Palatino Linotype" w:hAnsi="Palatino Linotype"/>
          <w:noProof/>
          <w:sz w:val="18"/>
        </w:rPr>
        <w:t>, doi:10.1016/j.chom.2018.07.009.</w:t>
      </w:r>
    </w:p>
    <w:p w14:paraId="328563AC"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11. </w:t>
      </w:r>
      <w:r w:rsidRPr="001A2EA3">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doi:10.1101/2020.03.15.993097.</w:t>
      </w:r>
    </w:p>
    <w:p w14:paraId="424D826B"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12. </w:t>
      </w:r>
      <w:r w:rsidRPr="001A2EA3">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doi:10.1101/2020.04.07.023903.</w:t>
      </w:r>
    </w:p>
    <w:p w14:paraId="329120E8"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13. </w:t>
      </w:r>
      <w:r w:rsidRPr="001A2EA3">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1A2EA3">
        <w:rPr>
          <w:rFonts w:ascii="Palatino Linotype" w:hAnsi="Palatino Linotype"/>
          <w:i/>
          <w:iCs/>
          <w:noProof/>
          <w:sz w:val="18"/>
        </w:rPr>
        <w:t>Clin. Vaccine Immunol.</w:t>
      </w:r>
      <w:r w:rsidRPr="001A2EA3">
        <w:rPr>
          <w:rFonts w:ascii="Palatino Linotype" w:hAnsi="Palatino Linotype"/>
          <w:noProof/>
          <w:sz w:val="18"/>
        </w:rPr>
        <w:t xml:space="preserve"> </w:t>
      </w:r>
      <w:r w:rsidRPr="001A2EA3">
        <w:rPr>
          <w:rFonts w:ascii="Palatino Linotype" w:hAnsi="Palatino Linotype"/>
          <w:b/>
          <w:bCs/>
          <w:noProof/>
          <w:sz w:val="18"/>
        </w:rPr>
        <w:t>2012</w:t>
      </w:r>
      <w:r w:rsidRPr="001A2EA3">
        <w:rPr>
          <w:rFonts w:ascii="Palatino Linotype" w:hAnsi="Palatino Linotype"/>
          <w:noProof/>
          <w:sz w:val="18"/>
        </w:rPr>
        <w:t>, doi:10.1128/CVI.00081-12.</w:t>
      </w:r>
    </w:p>
    <w:p w14:paraId="04A83C8D"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14. </w:t>
      </w:r>
      <w:r w:rsidRPr="001A2EA3">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1A2EA3">
        <w:rPr>
          <w:rFonts w:ascii="Palatino Linotype" w:hAnsi="Palatino Linotype"/>
          <w:i/>
          <w:iCs/>
          <w:noProof/>
          <w:sz w:val="18"/>
        </w:rPr>
        <w:t>Viral Immunol.</w:t>
      </w:r>
      <w:r w:rsidRPr="001A2EA3">
        <w:rPr>
          <w:rFonts w:ascii="Palatino Linotype" w:hAnsi="Palatino Linotype"/>
          <w:noProof/>
          <w:sz w:val="18"/>
        </w:rPr>
        <w:t xml:space="preserve"> </w:t>
      </w:r>
      <w:r w:rsidRPr="001A2EA3">
        <w:rPr>
          <w:rFonts w:ascii="Palatino Linotype" w:hAnsi="Palatino Linotype"/>
          <w:b/>
          <w:bCs/>
          <w:noProof/>
          <w:sz w:val="18"/>
        </w:rPr>
        <w:t>2014</w:t>
      </w:r>
      <w:r w:rsidRPr="001A2EA3">
        <w:rPr>
          <w:rFonts w:ascii="Palatino Linotype" w:hAnsi="Palatino Linotype"/>
          <w:noProof/>
          <w:sz w:val="18"/>
        </w:rPr>
        <w:t>, doi:10.1089/vim.2014.0061.</w:t>
      </w:r>
    </w:p>
    <w:p w14:paraId="45279FA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15. </w:t>
      </w:r>
      <w:r w:rsidRPr="001A2EA3">
        <w:rPr>
          <w:rFonts w:ascii="Palatino Linotype" w:hAnsi="Palatino Linotype"/>
          <w:noProof/>
          <w:sz w:val="18"/>
        </w:rPr>
        <w:tab/>
        <w:t xml:space="preserve">Callow, K.A.; Parry, H.F.; Sergeant, M.; Tyrrell, D.A.J. The time course of the immune response to experimental coronavirus infection of man. </w:t>
      </w:r>
      <w:r w:rsidRPr="001A2EA3">
        <w:rPr>
          <w:rFonts w:ascii="Palatino Linotype" w:hAnsi="Palatino Linotype"/>
          <w:i/>
          <w:iCs/>
          <w:noProof/>
          <w:sz w:val="18"/>
        </w:rPr>
        <w:t>Epidemiol. Infect.</w:t>
      </w:r>
      <w:r w:rsidRPr="001A2EA3">
        <w:rPr>
          <w:rFonts w:ascii="Palatino Linotype" w:hAnsi="Palatino Linotype"/>
          <w:noProof/>
          <w:sz w:val="18"/>
        </w:rPr>
        <w:t xml:space="preserve"> </w:t>
      </w:r>
      <w:r w:rsidRPr="001A2EA3">
        <w:rPr>
          <w:rFonts w:ascii="Palatino Linotype" w:hAnsi="Palatino Linotype"/>
          <w:b/>
          <w:bCs/>
          <w:noProof/>
          <w:sz w:val="18"/>
        </w:rPr>
        <w:t>1990</w:t>
      </w:r>
      <w:r w:rsidRPr="001A2EA3">
        <w:rPr>
          <w:rFonts w:ascii="Palatino Linotype" w:hAnsi="Palatino Linotype"/>
          <w:noProof/>
          <w:sz w:val="18"/>
        </w:rPr>
        <w:t>, doi:10.1017/S0950268800048019.</w:t>
      </w:r>
    </w:p>
    <w:p w14:paraId="1C248683"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16. </w:t>
      </w:r>
      <w:r w:rsidRPr="001A2EA3">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1A2EA3">
        <w:rPr>
          <w:rFonts w:ascii="Palatino Linotype" w:hAnsi="Palatino Linotype"/>
          <w:i/>
          <w:iCs/>
          <w:noProof/>
          <w:sz w:val="18"/>
        </w:rPr>
        <w:t>J. Med. Virol.</w:t>
      </w:r>
      <w:r w:rsidRPr="001A2EA3">
        <w:rPr>
          <w:rFonts w:ascii="Palatino Linotype" w:hAnsi="Palatino Linotype"/>
          <w:noProof/>
          <w:sz w:val="18"/>
        </w:rPr>
        <w:t xml:space="preserve"> </w:t>
      </w:r>
      <w:r w:rsidRPr="001A2EA3">
        <w:rPr>
          <w:rFonts w:ascii="Palatino Linotype" w:hAnsi="Palatino Linotype"/>
          <w:b/>
          <w:bCs/>
          <w:noProof/>
          <w:sz w:val="18"/>
        </w:rPr>
        <w:t>1984</w:t>
      </w:r>
      <w:r w:rsidRPr="001A2EA3">
        <w:rPr>
          <w:rFonts w:ascii="Palatino Linotype" w:hAnsi="Palatino Linotype"/>
          <w:noProof/>
          <w:sz w:val="18"/>
        </w:rPr>
        <w:t>, doi:10.1002/jmv.1890130208.</w:t>
      </w:r>
    </w:p>
    <w:p w14:paraId="404915F3"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17. </w:t>
      </w:r>
      <w:r w:rsidRPr="001A2EA3">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1A2EA3">
        <w:rPr>
          <w:rFonts w:ascii="Palatino Linotype" w:hAnsi="Palatino Linotype"/>
          <w:i/>
          <w:iCs/>
          <w:noProof/>
          <w:sz w:val="18"/>
        </w:rPr>
        <w:t>J. Virol.</w:t>
      </w:r>
      <w:r w:rsidRPr="001A2EA3">
        <w:rPr>
          <w:rFonts w:ascii="Palatino Linotype" w:hAnsi="Palatino Linotype"/>
          <w:noProof/>
          <w:sz w:val="18"/>
        </w:rPr>
        <w:t xml:space="preserve"> </w:t>
      </w:r>
      <w:r w:rsidRPr="001A2EA3">
        <w:rPr>
          <w:rFonts w:ascii="Palatino Linotype" w:hAnsi="Palatino Linotype"/>
          <w:b/>
          <w:bCs/>
          <w:noProof/>
          <w:sz w:val="18"/>
        </w:rPr>
        <w:t>2004</w:t>
      </w:r>
      <w:r w:rsidRPr="001A2EA3">
        <w:rPr>
          <w:rFonts w:ascii="Palatino Linotype" w:hAnsi="Palatino Linotype"/>
          <w:noProof/>
          <w:sz w:val="18"/>
        </w:rPr>
        <w:t>, doi:10.1128/jvi.78.7.3572-3577.2004.</w:t>
      </w:r>
    </w:p>
    <w:p w14:paraId="4EDBD442"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18. </w:t>
      </w:r>
      <w:r w:rsidRPr="001A2EA3">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1A2EA3">
        <w:rPr>
          <w:rFonts w:ascii="Palatino Linotype" w:hAnsi="Palatino Linotype"/>
          <w:i/>
          <w:iCs/>
          <w:noProof/>
          <w:sz w:val="18"/>
        </w:rPr>
        <w:t>Virology</w:t>
      </w:r>
      <w:r w:rsidRPr="001A2EA3">
        <w:rPr>
          <w:rFonts w:ascii="Palatino Linotype" w:hAnsi="Palatino Linotype"/>
          <w:noProof/>
          <w:sz w:val="18"/>
        </w:rPr>
        <w:t xml:space="preserve"> </w:t>
      </w:r>
      <w:r w:rsidRPr="001A2EA3">
        <w:rPr>
          <w:rFonts w:ascii="Palatino Linotype" w:hAnsi="Palatino Linotype"/>
          <w:b/>
          <w:bCs/>
          <w:noProof/>
          <w:sz w:val="18"/>
        </w:rPr>
        <w:t>2005</w:t>
      </w:r>
      <w:r w:rsidRPr="001A2EA3">
        <w:rPr>
          <w:rFonts w:ascii="Palatino Linotype" w:hAnsi="Palatino Linotype"/>
          <w:noProof/>
          <w:sz w:val="18"/>
        </w:rPr>
        <w:t>, doi:10.1016/j.virol.2005.06.016.</w:t>
      </w:r>
    </w:p>
    <w:p w14:paraId="626ABEAB"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19. </w:t>
      </w:r>
      <w:r w:rsidRPr="001A2EA3">
        <w:rPr>
          <w:rFonts w:ascii="Palatino Linotype" w:hAnsi="Palatino Linotype"/>
          <w:noProof/>
          <w:sz w:val="18"/>
        </w:rPr>
        <w:tab/>
        <w:t xml:space="preserve">Soo, Y.O.Y.; Cheng, Y.; Wong, R.; Hui, D.S.; Lee, C.K.; Tsang, K.K.S.; Ng, M.H.L.; Chan, P.; Cheng, G.; Sung, J.J.Y. Retrospective comparison of convalescent plasma with continuing high-dose </w:t>
      </w:r>
      <w:r w:rsidRPr="001A2EA3">
        <w:rPr>
          <w:rFonts w:ascii="Palatino Linotype" w:hAnsi="Palatino Linotype"/>
          <w:noProof/>
          <w:sz w:val="18"/>
        </w:rPr>
        <w:lastRenderedPageBreak/>
        <w:t xml:space="preserve">methylprednisolone treatment in SARS patients. </w:t>
      </w:r>
      <w:r w:rsidRPr="001A2EA3">
        <w:rPr>
          <w:rFonts w:ascii="Palatino Linotype" w:hAnsi="Palatino Linotype"/>
          <w:i/>
          <w:iCs/>
          <w:noProof/>
          <w:sz w:val="18"/>
        </w:rPr>
        <w:t>Clin. Microbiol. Infect.</w:t>
      </w:r>
      <w:r w:rsidRPr="001A2EA3">
        <w:rPr>
          <w:rFonts w:ascii="Palatino Linotype" w:hAnsi="Palatino Linotype"/>
          <w:noProof/>
          <w:sz w:val="18"/>
        </w:rPr>
        <w:t xml:space="preserve"> </w:t>
      </w:r>
      <w:r w:rsidRPr="001A2EA3">
        <w:rPr>
          <w:rFonts w:ascii="Palatino Linotype" w:hAnsi="Palatino Linotype"/>
          <w:b/>
          <w:bCs/>
          <w:noProof/>
          <w:sz w:val="18"/>
        </w:rPr>
        <w:t>2004</w:t>
      </w:r>
      <w:r w:rsidRPr="001A2EA3">
        <w:rPr>
          <w:rFonts w:ascii="Palatino Linotype" w:hAnsi="Palatino Linotype"/>
          <w:noProof/>
          <w:sz w:val="18"/>
        </w:rPr>
        <w:t>, doi:10.1111/j.1469-0691.2004.00956.x.</w:t>
      </w:r>
    </w:p>
    <w:p w14:paraId="34218608"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20. </w:t>
      </w:r>
      <w:r w:rsidRPr="001A2EA3">
        <w:rPr>
          <w:rFonts w:ascii="Palatino Linotype" w:hAnsi="Palatino Linotype"/>
          <w:noProof/>
          <w:sz w:val="18"/>
        </w:rPr>
        <w:tab/>
        <w:t xml:space="preserve">Cheng, Y.; Wong, R.; Soo, Y.O.Y.; Wong, W.S.; Lee, C.K.; Ng, M.H.L.; Chan, P.; Wong, K.C.; Leung, C.B.; Cheng, G. Use of convalescent plasma therapy in SARS patients in Hong Kong. </w:t>
      </w:r>
      <w:r w:rsidRPr="001A2EA3">
        <w:rPr>
          <w:rFonts w:ascii="Palatino Linotype" w:hAnsi="Palatino Linotype"/>
          <w:i/>
          <w:iCs/>
          <w:noProof/>
          <w:sz w:val="18"/>
        </w:rPr>
        <w:t>Eur. J. Clin. Microbiol. Infect. Dis.</w:t>
      </w:r>
      <w:r w:rsidRPr="001A2EA3">
        <w:rPr>
          <w:rFonts w:ascii="Palatino Linotype" w:hAnsi="Palatino Linotype"/>
          <w:noProof/>
          <w:sz w:val="18"/>
        </w:rPr>
        <w:t xml:space="preserve"> </w:t>
      </w:r>
      <w:r w:rsidRPr="001A2EA3">
        <w:rPr>
          <w:rFonts w:ascii="Palatino Linotype" w:hAnsi="Palatino Linotype"/>
          <w:b/>
          <w:bCs/>
          <w:noProof/>
          <w:sz w:val="18"/>
        </w:rPr>
        <w:t>2005</w:t>
      </w:r>
      <w:r w:rsidRPr="001A2EA3">
        <w:rPr>
          <w:rFonts w:ascii="Palatino Linotype" w:hAnsi="Palatino Linotype"/>
          <w:noProof/>
          <w:sz w:val="18"/>
        </w:rPr>
        <w:t>, doi:10.1007/s10096-004-1271-9.</w:t>
      </w:r>
    </w:p>
    <w:p w14:paraId="051FA791"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21. </w:t>
      </w:r>
      <w:r w:rsidRPr="001A2EA3">
        <w:rPr>
          <w:rFonts w:ascii="Palatino Linotype" w:hAnsi="Palatino Linotype"/>
          <w:noProof/>
          <w:sz w:val="18"/>
        </w:rPr>
        <w:tab/>
        <w:t xml:space="preserve">Duan, K.; Liu, B.; Li, C.; Zhang, H.; Yu, T.; Qu, J.; Zhou, M.; Chen, L.; Meng, S.; Hu, Y.; et al. Effectiveness of convalescent plasma therapy in severe COVID-19 patients. </w:t>
      </w:r>
      <w:r w:rsidRPr="001A2EA3">
        <w:rPr>
          <w:rFonts w:ascii="Palatino Linotype" w:hAnsi="Palatino Linotype"/>
          <w:i/>
          <w:iCs/>
          <w:noProof/>
          <w:sz w:val="18"/>
        </w:rPr>
        <w:t>Proc. Natl. Acad. Sci. U. S. A.</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doi:10.1073/pnas.2004168117.</w:t>
      </w:r>
    </w:p>
    <w:p w14:paraId="2A6C242B"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22. </w:t>
      </w:r>
      <w:r w:rsidRPr="001A2EA3">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1A2EA3">
        <w:rPr>
          <w:rFonts w:ascii="Palatino Linotype" w:hAnsi="Palatino Linotype"/>
          <w:i/>
          <w:iCs/>
          <w:noProof/>
          <w:sz w:val="18"/>
        </w:rPr>
        <w:t>medRxiv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doi:10.1101/2020.03.17.20037713.</w:t>
      </w:r>
    </w:p>
    <w:p w14:paraId="11B44BD5"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23. </w:t>
      </w:r>
      <w:r w:rsidRPr="001A2EA3">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1A2EA3">
        <w:rPr>
          <w:rFonts w:ascii="Palatino Linotype" w:hAnsi="Palatino Linotype"/>
          <w:i/>
          <w:iCs/>
          <w:noProof/>
          <w:sz w:val="18"/>
        </w:rPr>
        <w:t>medRxiv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w:t>
      </w:r>
    </w:p>
    <w:p w14:paraId="4CCDE56C"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24. </w:t>
      </w:r>
      <w:r w:rsidRPr="001A2EA3">
        <w:rPr>
          <w:rFonts w:ascii="Palatino Linotype" w:hAnsi="Palatino Linotype"/>
          <w:noProof/>
          <w:sz w:val="18"/>
        </w:rPr>
        <w:tab/>
        <w:t xml:space="preserve">Walls, A.C.; Park, Y.J.; Tortorici, M.A.; Wall, A.; McGuire, A.T.; Veesler, D. Structure, Function, and Antigenicity of the SARS-CoV-2 Spike Glycoprotein. </w:t>
      </w:r>
      <w:r w:rsidRPr="001A2EA3">
        <w:rPr>
          <w:rFonts w:ascii="Palatino Linotype" w:hAnsi="Palatino Linotype"/>
          <w:i/>
          <w:iCs/>
          <w:noProof/>
          <w:sz w:val="18"/>
        </w:rPr>
        <w:t>Cell</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doi:10.1016/j.cell.2020.02.058.</w:t>
      </w:r>
    </w:p>
    <w:p w14:paraId="11E73F2C"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25. </w:t>
      </w:r>
      <w:r w:rsidRPr="001A2EA3">
        <w:rPr>
          <w:rFonts w:ascii="Palatino Linotype" w:hAnsi="Palatino Linotype"/>
          <w:noProof/>
          <w:sz w:val="18"/>
        </w:rPr>
        <w:tab/>
        <w:t xml:space="preserve">Letko, M.; Marzi, A.; Munster, V. Functional assessment of cell entry and receptor usage for SARS-CoV-2 and other lineage B betacoronaviruses. </w:t>
      </w:r>
      <w:r w:rsidRPr="001A2EA3">
        <w:rPr>
          <w:rFonts w:ascii="Palatino Linotype" w:hAnsi="Palatino Linotype"/>
          <w:i/>
          <w:iCs/>
          <w:noProof/>
          <w:sz w:val="18"/>
        </w:rPr>
        <w:t>Nat. Microbiol.</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doi:10.1038/s41564-020-0688-y.</w:t>
      </w:r>
    </w:p>
    <w:p w14:paraId="6F6F33C7"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26. </w:t>
      </w:r>
      <w:r w:rsidRPr="001A2EA3">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1A2EA3">
        <w:rPr>
          <w:rFonts w:ascii="Palatino Linotype" w:hAnsi="Palatino Linotype"/>
          <w:i/>
          <w:iCs/>
          <w:noProof/>
          <w:sz w:val="18"/>
        </w:rPr>
        <w:t>J. Gen. Virol.</w:t>
      </w:r>
      <w:r w:rsidRPr="001A2EA3">
        <w:rPr>
          <w:rFonts w:ascii="Palatino Linotype" w:hAnsi="Palatino Linotype"/>
          <w:noProof/>
          <w:sz w:val="18"/>
        </w:rPr>
        <w:t xml:space="preserve"> </w:t>
      </w:r>
      <w:r w:rsidRPr="001A2EA3">
        <w:rPr>
          <w:rFonts w:ascii="Palatino Linotype" w:hAnsi="Palatino Linotype"/>
          <w:b/>
          <w:bCs/>
          <w:noProof/>
          <w:sz w:val="18"/>
        </w:rPr>
        <w:t>2005</w:t>
      </w:r>
      <w:r w:rsidRPr="001A2EA3">
        <w:rPr>
          <w:rFonts w:ascii="Palatino Linotype" w:hAnsi="Palatino Linotype"/>
          <w:noProof/>
          <w:sz w:val="18"/>
        </w:rPr>
        <w:t>, doi:10.1099/vir.0.80955-0.</w:t>
      </w:r>
    </w:p>
    <w:p w14:paraId="18224D5C"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27. </w:t>
      </w:r>
      <w:r w:rsidRPr="001A2EA3">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1A2EA3">
        <w:rPr>
          <w:rFonts w:ascii="Palatino Linotype" w:hAnsi="Palatino Linotype"/>
          <w:i/>
          <w:iCs/>
          <w:noProof/>
          <w:sz w:val="18"/>
        </w:rPr>
        <w:t>Emerg. Infect. Dis.</w:t>
      </w:r>
      <w:r w:rsidRPr="001A2EA3">
        <w:rPr>
          <w:rFonts w:ascii="Palatino Linotype" w:hAnsi="Palatino Linotype"/>
          <w:noProof/>
          <w:sz w:val="18"/>
        </w:rPr>
        <w:t xml:space="preserve"> </w:t>
      </w:r>
      <w:r w:rsidRPr="001A2EA3">
        <w:rPr>
          <w:rFonts w:ascii="Palatino Linotype" w:hAnsi="Palatino Linotype"/>
          <w:b/>
          <w:bCs/>
          <w:noProof/>
          <w:sz w:val="18"/>
        </w:rPr>
        <w:t>2005</w:t>
      </w:r>
      <w:r w:rsidRPr="001A2EA3">
        <w:rPr>
          <w:rFonts w:ascii="Palatino Linotype" w:hAnsi="Palatino Linotype"/>
          <w:noProof/>
          <w:sz w:val="18"/>
        </w:rPr>
        <w:t>, doi:10.3201/eid1103.040906.</w:t>
      </w:r>
    </w:p>
    <w:p w14:paraId="76FE83D5"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28. </w:t>
      </w:r>
      <w:r w:rsidRPr="001A2EA3">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1A2EA3">
        <w:rPr>
          <w:rFonts w:ascii="Palatino Linotype" w:hAnsi="Palatino Linotype"/>
          <w:i/>
          <w:iCs/>
          <w:noProof/>
          <w:sz w:val="18"/>
        </w:rPr>
        <w:t>BIO-PROTOCOL</w:t>
      </w:r>
      <w:r w:rsidRPr="001A2EA3">
        <w:rPr>
          <w:rFonts w:ascii="Palatino Linotype" w:hAnsi="Palatino Linotype"/>
          <w:noProof/>
          <w:sz w:val="18"/>
        </w:rPr>
        <w:t xml:space="preserve"> </w:t>
      </w:r>
      <w:r w:rsidRPr="001A2EA3">
        <w:rPr>
          <w:rFonts w:ascii="Palatino Linotype" w:hAnsi="Palatino Linotype"/>
          <w:b/>
          <w:bCs/>
          <w:noProof/>
          <w:sz w:val="18"/>
        </w:rPr>
        <w:t>2017</w:t>
      </w:r>
      <w:r w:rsidRPr="001A2EA3">
        <w:rPr>
          <w:rFonts w:ascii="Palatino Linotype" w:hAnsi="Palatino Linotype"/>
          <w:noProof/>
          <w:sz w:val="18"/>
        </w:rPr>
        <w:t>, doi:10.21769/bioprotoc.2514.</w:t>
      </w:r>
    </w:p>
    <w:p w14:paraId="1D14722D"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29. </w:t>
      </w:r>
      <w:r w:rsidRPr="001A2EA3">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1A2EA3">
        <w:rPr>
          <w:rFonts w:ascii="Palatino Linotype" w:hAnsi="Palatino Linotype"/>
          <w:i/>
          <w:iCs/>
          <w:noProof/>
          <w:sz w:val="18"/>
        </w:rPr>
        <w:t>Bing Du Xue Bao</w:t>
      </w:r>
      <w:r w:rsidRPr="001A2EA3">
        <w:rPr>
          <w:rFonts w:ascii="Palatino Linotype" w:hAnsi="Palatino Linotype"/>
          <w:noProof/>
          <w:sz w:val="18"/>
        </w:rPr>
        <w:t xml:space="preserve"> </w:t>
      </w:r>
      <w:r w:rsidRPr="001A2EA3">
        <w:rPr>
          <w:rFonts w:ascii="Palatino Linotype" w:hAnsi="Palatino Linotype"/>
          <w:b/>
          <w:bCs/>
          <w:noProof/>
          <w:sz w:val="18"/>
        </w:rPr>
        <w:t>2007</w:t>
      </w:r>
      <w:r w:rsidRPr="001A2EA3">
        <w:rPr>
          <w:rFonts w:ascii="Palatino Linotype" w:hAnsi="Palatino Linotype"/>
          <w:noProof/>
          <w:sz w:val="18"/>
        </w:rPr>
        <w:t>.</w:t>
      </w:r>
    </w:p>
    <w:p w14:paraId="346CDC20"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30. </w:t>
      </w:r>
      <w:r w:rsidRPr="001A2EA3">
        <w:rPr>
          <w:rFonts w:ascii="Palatino Linotype" w:hAnsi="Palatino Linotype"/>
          <w:noProof/>
          <w:sz w:val="18"/>
        </w:rPr>
        <w:tab/>
        <w:t xml:space="preserve">Grehan, K.; Ferrara, F.; Temperton, N. An optimised method for the production of MERS-CoV spike expressing viral pseudotypes. </w:t>
      </w:r>
      <w:r w:rsidRPr="001A2EA3">
        <w:rPr>
          <w:rFonts w:ascii="Palatino Linotype" w:hAnsi="Palatino Linotype"/>
          <w:i/>
          <w:iCs/>
          <w:noProof/>
          <w:sz w:val="18"/>
        </w:rPr>
        <w:t>MethodsX</w:t>
      </w:r>
      <w:r w:rsidRPr="001A2EA3">
        <w:rPr>
          <w:rFonts w:ascii="Palatino Linotype" w:hAnsi="Palatino Linotype"/>
          <w:noProof/>
          <w:sz w:val="18"/>
        </w:rPr>
        <w:t xml:space="preserve"> </w:t>
      </w:r>
      <w:r w:rsidRPr="001A2EA3">
        <w:rPr>
          <w:rFonts w:ascii="Palatino Linotype" w:hAnsi="Palatino Linotype"/>
          <w:b/>
          <w:bCs/>
          <w:noProof/>
          <w:sz w:val="18"/>
        </w:rPr>
        <w:t>2015</w:t>
      </w:r>
      <w:r w:rsidRPr="001A2EA3">
        <w:rPr>
          <w:rFonts w:ascii="Palatino Linotype" w:hAnsi="Palatino Linotype"/>
          <w:noProof/>
          <w:sz w:val="18"/>
        </w:rPr>
        <w:t>, doi:10.1016/j.mex.2015.09.003.</w:t>
      </w:r>
    </w:p>
    <w:p w14:paraId="4F457ECE"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31. </w:t>
      </w:r>
      <w:r w:rsidRPr="001A2EA3">
        <w:rPr>
          <w:rFonts w:ascii="Palatino Linotype" w:hAnsi="Palatino Linotype"/>
          <w:noProof/>
          <w:sz w:val="18"/>
        </w:rPr>
        <w:tab/>
        <w:t xml:space="preserve">Lester, S.; Harcourt, J.; Whitt, M.; Al-Abdely, H.M.; Midgley, C.M.; Alkhamis, A.M.; Aziz Jokhdar, H.A.; Assiri, A.M.; Tamin, A.; Thornburg, N. Middle East respiratory coronavirus (MERS-CoV) spike (S) </w:t>
      </w:r>
      <w:r w:rsidRPr="001A2EA3">
        <w:rPr>
          <w:rFonts w:ascii="Palatino Linotype" w:hAnsi="Palatino Linotype"/>
          <w:noProof/>
          <w:sz w:val="18"/>
        </w:rPr>
        <w:lastRenderedPageBreak/>
        <w:t xml:space="preserve">protein vesicular stomatitis virus pseudoparticle neutralization assays offer a reliable alternative to the conventional neutralization assay in human seroepidemiological studies. </w:t>
      </w:r>
      <w:r w:rsidRPr="001A2EA3">
        <w:rPr>
          <w:rFonts w:ascii="Palatino Linotype" w:hAnsi="Palatino Linotype"/>
          <w:i/>
          <w:iCs/>
          <w:noProof/>
          <w:sz w:val="18"/>
        </w:rPr>
        <w:t>Access Microbiol.</w:t>
      </w:r>
      <w:r w:rsidRPr="001A2EA3">
        <w:rPr>
          <w:rFonts w:ascii="Palatino Linotype" w:hAnsi="Palatino Linotype"/>
          <w:noProof/>
          <w:sz w:val="18"/>
        </w:rPr>
        <w:t xml:space="preserve"> </w:t>
      </w:r>
      <w:r w:rsidRPr="001A2EA3">
        <w:rPr>
          <w:rFonts w:ascii="Palatino Linotype" w:hAnsi="Palatino Linotype"/>
          <w:b/>
          <w:bCs/>
          <w:noProof/>
          <w:sz w:val="18"/>
        </w:rPr>
        <w:t>2019</w:t>
      </w:r>
      <w:r w:rsidRPr="001A2EA3">
        <w:rPr>
          <w:rFonts w:ascii="Palatino Linotype" w:hAnsi="Palatino Linotype"/>
          <w:noProof/>
          <w:sz w:val="18"/>
        </w:rPr>
        <w:t>, doi:10.1099/acmi.0.000057.</w:t>
      </w:r>
    </w:p>
    <w:p w14:paraId="381E941B"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32. </w:t>
      </w:r>
      <w:r w:rsidRPr="001A2EA3">
        <w:rPr>
          <w:rFonts w:ascii="Palatino Linotype" w:hAnsi="Palatino Linotype"/>
          <w:noProof/>
          <w:sz w:val="18"/>
        </w:rPr>
        <w:tab/>
        <w:t xml:space="preserve">Millet, J.; Whittaker, G. Murine Leukemia Virus (MLV)-based Coronavirus Spike-pseudotyped Particle Production and Infection. </w:t>
      </w:r>
      <w:r w:rsidRPr="001A2EA3">
        <w:rPr>
          <w:rFonts w:ascii="Palatino Linotype" w:hAnsi="Palatino Linotype"/>
          <w:i/>
          <w:iCs/>
          <w:noProof/>
          <w:sz w:val="18"/>
        </w:rPr>
        <w:t>BIO-PROTOCOL</w:t>
      </w:r>
      <w:r w:rsidRPr="001A2EA3">
        <w:rPr>
          <w:rFonts w:ascii="Palatino Linotype" w:hAnsi="Palatino Linotype"/>
          <w:noProof/>
          <w:sz w:val="18"/>
        </w:rPr>
        <w:t xml:space="preserve"> </w:t>
      </w:r>
      <w:r w:rsidRPr="001A2EA3">
        <w:rPr>
          <w:rFonts w:ascii="Palatino Linotype" w:hAnsi="Palatino Linotype"/>
          <w:b/>
          <w:bCs/>
          <w:noProof/>
          <w:sz w:val="18"/>
        </w:rPr>
        <w:t>2016</w:t>
      </w:r>
      <w:r w:rsidRPr="001A2EA3">
        <w:rPr>
          <w:rFonts w:ascii="Palatino Linotype" w:hAnsi="Palatino Linotype"/>
          <w:noProof/>
          <w:sz w:val="18"/>
        </w:rPr>
        <w:t>, doi:10.21769/bioprotoc.2035.</w:t>
      </w:r>
    </w:p>
    <w:p w14:paraId="08249F89"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33. </w:t>
      </w:r>
      <w:r w:rsidRPr="001A2EA3">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1A2EA3">
        <w:rPr>
          <w:rFonts w:ascii="Palatino Linotype" w:hAnsi="Palatino Linotype"/>
          <w:i/>
          <w:iCs/>
          <w:noProof/>
          <w:sz w:val="18"/>
        </w:rPr>
        <w:t>Nat. Commun.</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doi:10.1038/s41467-020-15562-9.</w:t>
      </w:r>
    </w:p>
    <w:p w14:paraId="00090871"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34. </w:t>
      </w:r>
      <w:r w:rsidRPr="001A2EA3">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2020.04.10.036418, doi:10.1101/2020.04.10.036418.</w:t>
      </w:r>
    </w:p>
    <w:p w14:paraId="759576F8"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35. </w:t>
      </w:r>
      <w:r w:rsidRPr="001A2EA3">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2020.04.08.026948, doi:10.1101/2020.04.08.026948.</w:t>
      </w:r>
    </w:p>
    <w:p w14:paraId="0201F079"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36. </w:t>
      </w:r>
      <w:r w:rsidRPr="001A2EA3">
        <w:rPr>
          <w:rFonts w:ascii="Palatino Linotype" w:hAnsi="Palatino Linotype"/>
          <w:noProof/>
          <w:sz w:val="18"/>
        </w:rPr>
        <w:tab/>
        <w:t xml:space="preserve">Nie, J.; Li, Q.; Wu, J.; Zhao, C.; Hao, H.; Liu, H.; Zhang, L.; Nie, L.; Qin, H.; Wang, M.; et al. Establishment and validation of a pseudovirus neutralization assay for SARS-CoV-2. </w:t>
      </w:r>
      <w:r w:rsidRPr="001A2EA3">
        <w:rPr>
          <w:rFonts w:ascii="Palatino Linotype" w:hAnsi="Palatino Linotype"/>
          <w:i/>
          <w:iCs/>
          <w:noProof/>
          <w:sz w:val="18"/>
        </w:rPr>
        <w:t>Emerg. Microbes Infect.</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doi:10.1080/22221751.2020.1743767.</w:t>
      </w:r>
    </w:p>
    <w:p w14:paraId="1F73141F"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37. </w:t>
      </w:r>
      <w:r w:rsidRPr="001A2EA3">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1A2EA3">
        <w:rPr>
          <w:rFonts w:ascii="Palatino Linotype" w:hAnsi="Palatino Linotype"/>
          <w:i/>
          <w:iCs/>
          <w:noProof/>
          <w:sz w:val="18"/>
        </w:rPr>
        <w:t>Cell</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doi:10.1016/j.cell.2020.02.052.</w:t>
      </w:r>
    </w:p>
    <w:p w14:paraId="1CD7ABA7"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38. </w:t>
      </w:r>
      <w:r w:rsidRPr="001A2EA3">
        <w:rPr>
          <w:rFonts w:ascii="Palatino Linotype" w:hAnsi="Palatino Linotype"/>
          <w:noProof/>
          <w:sz w:val="18"/>
        </w:rPr>
        <w:tab/>
        <w:t xml:space="preserve">Wrapp, D.; Wang, N.; Corbett, K.S.; Goldsmith, J.A.; Hsieh, C.L.; Abiona, O.; Graham, B.S.; McLellan, J.S. Cryo-EM structure of the 2019-nCoV spike in the prefusion conformation. </w:t>
      </w:r>
      <w:r w:rsidRPr="001A2EA3">
        <w:rPr>
          <w:rFonts w:ascii="Palatino Linotype" w:hAnsi="Palatino Linotype"/>
          <w:i/>
          <w:iCs/>
          <w:noProof/>
          <w:sz w:val="18"/>
        </w:rPr>
        <w:t>Science (80-. ).</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doi:10.1126/science.aax0902.</w:t>
      </w:r>
    </w:p>
    <w:p w14:paraId="18E0ED9A"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39. </w:t>
      </w:r>
      <w:r w:rsidRPr="001A2EA3">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1A2EA3">
        <w:rPr>
          <w:rFonts w:ascii="Palatino Linotype" w:hAnsi="Palatino Linotype"/>
          <w:i/>
          <w:iCs/>
          <w:noProof/>
          <w:sz w:val="18"/>
        </w:rPr>
        <w:t>Emerg. Microbes Infect.</w:t>
      </w:r>
      <w:r w:rsidRPr="001A2EA3">
        <w:rPr>
          <w:rFonts w:ascii="Palatino Linotype" w:hAnsi="Palatino Linotype"/>
          <w:noProof/>
          <w:sz w:val="18"/>
        </w:rPr>
        <w:t xml:space="preserve"> 2020.</w:t>
      </w:r>
    </w:p>
    <w:p w14:paraId="0807EED0"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40. </w:t>
      </w:r>
      <w:r w:rsidRPr="001A2EA3">
        <w:rPr>
          <w:rFonts w:ascii="Palatino Linotype" w:hAnsi="Palatino Linotype"/>
          <w:noProof/>
          <w:sz w:val="18"/>
        </w:rPr>
        <w:tab/>
        <w:t xml:space="preserve">Yuan, M.; Wu, N.C.; Zhu, X.; Lee, C.-C.D.; So, R.T.Y.; Lv, H.; Mok, C.K.P.; Wilson, I.A. A highly conserved cryptic epitope in the receptor-binding domains of SARS-CoV-2 and SARS-CoV. </w:t>
      </w:r>
      <w:r w:rsidRPr="001A2EA3">
        <w:rPr>
          <w:rFonts w:ascii="Palatino Linotype" w:hAnsi="Palatino Linotype"/>
          <w:i/>
          <w:iCs/>
          <w:noProof/>
          <w:sz w:val="18"/>
        </w:rPr>
        <w:t>Science (80-. ).</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doi:10.1126/science.abb7269.</w:t>
      </w:r>
    </w:p>
    <w:p w14:paraId="33614814"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41. </w:t>
      </w:r>
      <w:r w:rsidRPr="001A2EA3">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doi:10.1101/2020.03.15.992883.</w:t>
      </w:r>
    </w:p>
    <w:p w14:paraId="3616E8AE"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42. </w:t>
      </w:r>
      <w:r w:rsidRPr="001A2EA3">
        <w:rPr>
          <w:rFonts w:ascii="Palatino Linotype" w:hAnsi="Palatino Linotype"/>
          <w:noProof/>
          <w:sz w:val="18"/>
        </w:rPr>
        <w:tab/>
        <w:t xml:space="preserve">Wu, F.; Zhao, S.; Yu, B.; Chen, Y.M.; Wang, W.; Song, Z.G.; Hu, Y.; Tao, Z.W.; Tian, J.H.; Pei, Y.Y.; et al. A new coronavirus associated with human respiratory disease in China. </w:t>
      </w:r>
      <w:r w:rsidRPr="001A2EA3">
        <w:rPr>
          <w:rFonts w:ascii="Palatino Linotype" w:hAnsi="Palatino Linotype"/>
          <w:i/>
          <w:iCs/>
          <w:noProof/>
          <w:sz w:val="18"/>
        </w:rPr>
        <w:t>Nature</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doi:10.1038/s41586-020-2008-3.</w:t>
      </w:r>
    </w:p>
    <w:p w14:paraId="27E924A4"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lastRenderedPageBreak/>
        <w:t xml:space="preserve">43. </w:t>
      </w:r>
      <w:r w:rsidRPr="001A2EA3">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1A2EA3">
        <w:rPr>
          <w:rFonts w:ascii="Palatino Linotype" w:hAnsi="Palatino Linotype"/>
          <w:i/>
          <w:iCs/>
          <w:noProof/>
          <w:sz w:val="18"/>
        </w:rPr>
        <w:t>J. Virol.</w:t>
      </w:r>
      <w:r w:rsidRPr="001A2EA3">
        <w:rPr>
          <w:rFonts w:ascii="Palatino Linotype" w:hAnsi="Palatino Linotype"/>
          <w:noProof/>
          <w:sz w:val="18"/>
        </w:rPr>
        <w:t xml:space="preserve"> </w:t>
      </w:r>
      <w:r w:rsidRPr="001A2EA3">
        <w:rPr>
          <w:rFonts w:ascii="Palatino Linotype" w:hAnsi="Palatino Linotype"/>
          <w:b/>
          <w:bCs/>
          <w:noProof/>
          <w:sz w:val="18"/>
        </w:rPr>
        <w:t>2007</w:t>
      </w:r>
      <w:r w:rsidRPr="001A2EA3">
        <w:rPr>
          <w:rFonts w:ascii="Palatino Linotype" w:hAnsi="Palatino Linotype"/>
          <w:noProof/>
          <w:sz w:val="18"/>
        </w:rPr>
        <w:t>, doi:10.1128/jvi.02146-06.</w:t>
      </w:r>
    </w:p>
    <w:p w14:paraId="362F81B8"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44. </w:t>
      </w:r>
      <w:r w:rsidRPr="001A2EA3">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1A2EA3">
        <w:rPr>
          <w:rFonts w:ascii="Palatino Linotype" w:hAnsi="Palatino Linotype"/>
          <w:i/>
          <w:iCs/>
          <w:noProof/>
          <w:sz w:val="18"/>
        </w:rPr>
        <w:t>J. Virol.</w:t>
      </w:r>
      <w:r w:rsidRPr="001A2EA3">
        <w:rPr>
          <w:rFonts w:ascii="Palatino Linotype" w:hAnsi="Palatino Linotype"/>
          <w:noProof/>
          <w:sz w:val="18"/>
        </w:rPr>
        <w:t xml:space="preserve"> </w:t>
      </w:r>
      <w:r w:rsidRPr="001A2EA3">
        <w:rPr>
          <w:rFonts w:ascii="Palatino Linotype" w:hAnsi="Palatino Linotype"/>
          <w:b/>
          <w:bCs/>
          <w:noProof/>
          <w:sz w:val="18"/>
        </w:rPr>
        <w:t>2004</w:t>
      </w:r>
      <w:r w:rsidRPr="001A2EA3">
        <w:rPr>
          <w:rFonts w:ascii="Palatino Linotype" w:hAnsi="Palatino Linotype"/>
          <w:noProof/>
          <w:sz w:val="18"/>
        </w:rPr>
        <w:t>, doi:10.1128/jvi.78.17.9007-9015.2004.</w:t>
      </w:r>
    </w:p>
    <w:p w14:paraId="5790370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45. </w:t>
      </w:r>
      <w:r w:rsidRPr="001A2EA3">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1A2EA3">
        <w:rPr>
          <w:rFonts w:ascii="Palatino Linotype" w:hAnsi="Palatino Linotype"/>
          <w:i/>
          <w:iCs/>
          <w:noProof/>
          <w:sz w:val="18"/>
        </w:rPr>
        <w:t>J. Gen. Virol.</w:t>
      </w:r>
      <w:r w:rsidRPr="001A2EA3">
        <w:rPr>
          <w:rFonts w:ascii="Palatino Linotype" w:hAnsi="Palatino Linotype"/>
          <w:noProof/>
          <w:sz w:val="18"/>
        </w:rPr>
        <w:t xml:space="preserve"> </w:t>
      </w:r>
      <w:r w:rsidRPr="001A2EA3">
        <w:rPr>
          <w:rFonts w:ascii="Palatino Linotype" w:hAnsi="Palatino Linotype"/>
          <w:b/>
          <w:bCs/>
          <w:noProof/>
          <w:sz w:val="18"/>
        </w:rPr>
        <w:t>2009</w:t>
      </w:r>
      <w:r w:rsidRPr="001A2EA3">
        <w:rPr>
          <w:rFonts w:ascii="Palatino Linotype" w:hAnsi="Palatino Linotype"/>
          <w:noProof/>
          <w:sz w:val="18"/>
        </w:rPr>
        <w:t>, doi:10.1099/vir.0.009704-0.</w:t>
      </w:r>
    </w:p>
    <w:p w14:paraId="529BD073"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46. </w:t>
      </w:r>
      <w:r w:rsidRPr="001A2EA3">
        <w:rPr>
          <w:rFonts w:ascii="Palatino Linotype" w:hAnsi="Palatino Linotype"/>
          <w:noProof/>
          <w:sz w:val="18"/>
        </w:rPr>
        <w:tab/>
        <w:t xml:space="preserve">Jiang, W.; Hua, R.; Wei, M.; Li, C.; Qiu, Z.; Yang, X.; Zhang, C. An optimized method for high-titer lentivirus preparations without ultracentrifugation. </w:t>
      </w:r>
      <w:r w:rsidRPr="001A2EA3">
        <w:rPr>
          <w:rFonts w:ascii="Palatino Linotype" w:hAnsi="Palatino Linotype"/>
          <w:i/>
          <w:iCs/>
          <w:noProof/>
          <w:sz w:val="18"/>
        </w:rPr>
        <w:t>Sci. Rep.</w:t>
      </w:r>
      <w:r w:rsidRPr="001A2EA3">
        <w:rPr>
          <w:rFonts w:ascii="Palatino Linotype" w:hAnsi="Palatino Linotype"/>
          <w:noProof/>
          <w:sz w:val="18"/>
        </w:rPr>
        <w:t xml:space="preserve"> </w:t>
      </w:r>
      <w:r w:rsidRPr="001A2EA3">
        <w:rPr>
          <w:rFonts w:ascii="Palatino Linotype" w:hAnsi="Palatino Linotype"/>
          <w:b/>
          <w:bCs/>
          <w:noProof/>
          <w:sz w:val="18"/>
        </w:rPr>
        <w:t>2015</w:t>
      </w:r>
      <w:r w:rsidRPr="001A2EA3">
        <w:rPr>
          <w:rFonts w:ascii="Palatino Linotype" w:hAnsi="Palatino Linotype"/>
          <w:noProof/>
          <w:sz w:val="18"/>
        </w:rPr>
        <w:t>, doi:10.1038/srep13875.</w:t>
      </w:r>
    </w:p>
    <w:p w14:paraId="3E989B80"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47. </w:t>
      </w:r>
      <w:r w:rsidRPr="001A2EA3">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1A2EA3">
        <w:rPr>
          <w:rFonts w:ascii="Palatino Linotype" w:hAnsi="Palatino Linotype"/>
          <w:i/>
          <w:iCs/>
          <w:noProof/>
          <w:sz w:val="18"/>
        </w:rPr>
        <w:t>BMC Biotechnol.</w:t>
      </w:r>
      <w:r w:rsidRPr="001A2EA3">
        <w:rPr>
          <w:rFonts w:ascii="Palatino Linotype" w:hAnsi="Palatino Linotype"/>
          <w:noProof/>
          <w:sz w:val="18"/>
        </w:rPr>
        <w:t xml:space="preserve"> </w:t>
      </w:r>
      <w:r w:rsidRPr="001A2EA3">
        <w:rPr>
          <w:rFonts w:ascii="Palatino Linotype" w:hAnsi="Palatino Linotype"/>
          <w:b/>
          <w:bCs/>
          <w:noProof/>
          <w:sz w:val="18"/>
        </w:rPr>
        <w:t>2013</w:t>
      </w:r>
      <w:r w:rsidRPr="001A2EA3">
        <w:rPr>
          <w:rFonts w:ascii="Palatino Linotype" w:hAnsi="Palatino Linotype"/>
          <w:noProof/>
          <w:sz w:val="18"/>
        </w:rPr>
        <w:t>, doi:10.1186/1472-6750-13-98.</w:t>
      </w:r>
    </w:p>
    <w:p w14:paraId="7F926187"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48. </w:t>
      </w:r>
      <w:r w:rsidRPr="001A2EA3">
        <w:rPr>
          <w:rFonts w:ascii="Palatino Linotype" w:hAnsi="Palatino Linotype"/>
          <w:noProof/>
          <w:sz w:val="18"/>
        </w:rPr>
        <w:tab/>
        <w:t xml:space="preserve">Lei, C.; Fu, W.; Qian, K.; Li, T.; Zhang, S.; Ding, M.; Hu, S. Potent neutralization of 2019 novel coronavirus by recombinant ACE2-Ig. </w:t>
      </w:r>
      <w:r w:rsidRPr="001A2EA3">
        <w:rPr>
          <w:rFonts w:ascii="Palatino Linotype" w:hAnsi="Palatino Linotype"/>
          <w:i/>
          <w:iCs/>
          <w:noProof/>
          <w:sz w:val="18"/>
        </w:rPr>
        <w:t>bioRxiv</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doi:10.1101/2020.02.01.929976.</w:t>
      </w:r>
    </w:p>
    <w:p w14:paraId="2DB464B1"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49. </w:t>
      </w:r>
      <w:r w:rsidRPr="001A2EA3">
        <w:rPr>
          <w:rFonts w:ascii="Palatino Linotype" w:hAnsi="Palatino Linotype"/>
          <w:noProof/>
          <w:sz w:val="18"/>
        </w:rPr>
        <w:tab/>
        <w:t xml:space="preserve">Denning, W.; Das, S.; Guo, S.; Xu, J.; Kappes, J.C.; Hel, Z. Optimization of the transductional efficiency of lentiviral vectors: Effect of sera and polycations. </w:t>
      </w:r>
      <w:r w:rsidRPr="001A2EA3">
        <w:rPr>
          <w:rFonts w:ascii="Palatino Linotype" w:hAnsi="Palatino Linotype"/>
          <w:i/>
          <w:iCs/>
          <w:noProof/>
          <w:sz w:val="18"/>
        </w:rPr>
        <w:t>Mol. Biotechnol.</w:t>
      </w:r>
      <w:r w:rsidRPr="001A2EA3">
        <w:rPr>
          <w:rFonts w:ascii="Palatino Linotype" w:hAnsi="Palatino Linotype"/>
          <w:noProof/>
          <w:sz w:val="18"/>
        </w:rPr>
        <w:t xml:space="preserve"> </w:t>
      </w:r>
      <w:r w:rsidRPr="001A2EA3">
        <w:rPr>
          <w:rFonts w:ascii="Palatino Linotype" w:hAnsi="Palatino Linotype"/>
          <w:b/>
          <w:bCs/>
          <w:noProof/>
          <w:sz w:val="18"/>
        </w:rPr>
        <w:t>2013</w:t>
      </w:r>
      <w:r w:rsidRPr="001A2EA3">
        <w:rPr>
          <w:rFonts w:ascii="Palatino Linotype" w:hAnsi="Palatino Linotype"/>
          <w:noProof/>
          <w:sz w:val="18"/>
        </w:rPr>
        <w:t>, doi:10.1007/s12033-012-9528-5.</w:t>
      </w:r>
    </w:p>
    <w:p w14:paraId="7C879C76" w14:textId="77777777" w:rsidR="001A2EA3" w:rsidRPr="001A2EA3" w:rsidRDefault="001A2EA3" w:rsidP="001A2EA3">
      <w:pPr>
        <w:widowControl w:val="0"/>
        <w:autoSpaceDE w:val="0"/>
        <w:autoSpaceDN w:val="0"/>
        <w:adjustRightInd w:val="0"/>
        <w:spacing w:after="240" w:line="240" w:lineRule="atLeast"/>
        <w:ind w:left="640" w:hanging="640"/>
        <w:rPr>
          <w:rFonts w:ascii="Palatino Linotype" w:hAnsi="Palatino Linotype"/>
          <w:noProof/>
          <w:sz w:val="18"/>
        </w:rPr>
      </w:pPr>
      <w:r w:rsidRPr="001A2EA3">
        <w:rPr>
          <w:rFonts w:ascii="Palatino Linotype" w:hAnsi="Palatino Linotype"/>
          <w:noProof/>
          <w:sz w:val="18"/>
        </w:rPr>
        <w:t xml:space="preserve">50. </w:t>
      </w:r>
      <w:r w:rsidRPr="001A2EA3">
        <w:rPr>
          <w:rFonts w:ascii="Palatino Linotype" w:hAnsi="Palatino Linotype"/>
          <w:noProof/>
          <w:sz w:val="18"/>
        </w:rPr>
        <w:tab/>
        <w:t xml:space="preserve">Chin, A.W.H.; Chu, J.T.S.; Perera, M.R.A.; Hui, K.P.Y.; Yen, H.-L.; Chan, M.C.W.; Peiris, M.; Poon, L.L.M. Stability of SARS-CoV-2 in different environmental conditions. </w:t>
      </w:r>
      <w:r w:rsidRPr="001A2EA3">
        <w:rPr>
          <w:rFonts w:ascii="Palatino Linotype" w:hAnsi="Palatino Linotype"/>
          <w:i/>
          <w:iCs/>
          <w:noProof/>
          <w:sz w:val="18"/>
        </w:rPr>
        <w:t>The Lancet Microbe</w:t>
      </w:r>
      <w:r w:rsidRPr="001A2EA3">
        <w:rPr>
          <w:rFonts w:ascii="Palatino Linotype" w:hAnsi="Palatino Linotype"/>
          <w:noProof/>
          <w:sz w:val="18"/>
        </w:rPr>
        <w:t xml:space="preserve"> </w:t>
      </w:r>
      <w:r w:rsidRPr="001A2EA3">
        <w:rPr>
          <w:rFonts w:ascii="Palatino Linotype" w:hAnsi="Palatino Linotype"/>
          <w:b/>
          <w:bCs/>
          <w:noProof/>
          <w:sz w:val="18"/>
        </w:rPr>
        <w:t>2020</w:t>
      </w:r>
      <w:r w:rsidRPr="001A2EA3">
        <w:rPr>
          <w:rFonts w:ascii="Palatino Linotype" w:hAnsi="Palatino Linotype"/>
          <w:noProof/>
          <w:sz w:val="18"/>
        </w:rPr>
        <w:t>, doi:10.1016/s2666-5247(20)30003-3.</w:t>
      </w:r>
    </w:p>
    <w:p w14:paraId="4540212C" w14:textId="798A439D" w:rsidR="00FD4509" w:rsidRDefault="00F15C55" w:rsidP="001A2EA3">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7T06:59:00Z" w:initials="BPJD">
    <w:p w14:paraId="557F6B32" w14:textId="161B8906" w:rsidR="006A6C09" w:rsidRDefault="006A6C09">
      <w:pPr>
        <w:pStyle w:val="CommentText"/>
      </w:pPr>
      <w:r>
        <w:rPr>
          <w:rStyle w:val="CommentReference"/>
        </w:rPr>
        <w:annotationRef/>
      </w:r>
      <w:r>
        <w:t>Better images in progress.</w:t>
      </w:r>
      <w:r w:rsidR="00955E7D">
        <w:t xml:space="preserve"> Kate, if we can’t get decent images soon, we should just drop this panel</w:t>
      </w:r>
      <w:r w:rsidR="00ED0B23">
        <w:t>. Or maybe Andrea can help you turn up the contrast on what you do take.</w:t>
      </w:r>
      <w:r w:rsidR="00DC7DC4">
        <w:t xml:space="preserve"> Another option would just be to show titer data in the two cells if you have that.</w:t>
      </w:r>
    </w:p>
  </w:comment>
  <w:comment w:id="3" w:author="Bloom PhD, Jesse D" w:date="2020-04-16T06:47:00Z" w:initials="BPJD">
    <w:p w14:paraId="718D8D1E" w14:textId="0E6A51BE" w:rsidR="007E6A2F" w:rsidRDefault="007E6A2F">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“Spike-HAtail”. Also, Adam points out x-axis should be “plasma dilution”</w:t>
      </w:r>
    </w:p>
  </w:comment>
  <w:comment w:id="4" w:author="Bloom PhD, Jesse D" w:date="2020-04-16T10:24:00Z" w:initials="BPJD">
    <w:p w14:paraId="5D611F2F" w14:textId="5B1DA95A" w:rsidR="007E6A2F" w:rsidRDefault="007E6A2F">
      <w:pPr>
        <w:pStyle w:val="CommentText"/>
      </w:pPr>
      <w:r>
        <w:rPr>
          <w:rStyle w:val="CommentReference"/>
        </w:rPr>
        <w:annotationRef/>
      </w:r>
      <w:r>
        <w:t>Most patients are in the range 1:500 to 1:4000, which seems like the range our final IC50 will fall in? If so, this text is OK.</w:t>
      </w:r>
    </w:p>
  </w:comment>
  <w:comment w:id="5" w:author="Bloom PhD, Jesse D" w:date="2020-04-16T10:11:00Z" w:initials="BPJD">
    <w:p w14:paraId="2CC836D6" w14:textId="18BE6242" w:rsidR="007E6A2F" w:rsidRDefault="007E6A2F">
      <w:pPr>
        <w:pStyle w:val="CommentText"/>
      </w:pPr>
      <w:r>
        <w:rPr>
          <w:rStyle w:val="CommentReference"/>
        </w:rPr>
        <w:annotationRef/>
      </w:r>
      <w:r>
        <w:t>The values reported in this prior paper are about 0.1 ug/ml, so as long as we are close that I think this text is OK.</w:t>
      </w:r>
    </w:p>
  </w:comment>
  <w:comment w:id="6" w:author="Kate D Crawford" w:date="2020-04-17T00:24:00Z" w:initials="KDC">
    <w:p w14:paraId="7EC29B76" w14:textId="77777777" w:rsidR="007E6A2F" w:rsidRDefault="007E6A2F">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p w14:paraId="3059E40C" w14:textId="3CC222EC" w:rsidR="007A10FA" w:rsidRDefault="007A10FA">
      <w:pPr>
        <w:pStyle w:val="CommentText"/>
      </w:pPr>
    </w:p>
  </w:comment>
  <w:comment w:id="7" w:author="Bloom PhD, Jesse D" w:date="2020-04-17T08:53:00Z" w:initials="BPJD">
    <w:p w14:paraId="1BBAE8D2" w14:textId="16CF897A" w:rsidR="007A10FA" w:rsidRDefault="007A10FA">
      <w:pPr>
        <w:pStyle w:val="CommentText"/>
      </w:pPr>
      <w:r>
        <w:rPr>
          <w:rStyle w:val="CommentReference"/>
        </w:rPr>
        <w:annotationRef/>
      </w:r>
      <w:r>
        <w:t xml:space="preserve">OK, depending on what our value we can say </w:t>
      </w:r>
      <w:r w:rsidR="00630FBE">
        <w:t>something like “is similar but slightly higher, possibly because of different target cells.”</w:t>
      </w:r>
    </w:p>
  </w:comment>
  <w:comment w:id="8" w:author="Bloom PhD, Jesse D" w:date="2020-04-16T15:59:00Z" w:initials="BPJD">
    <w:p w14:paraId="06675C80" w14:textId="1852EA3D" w:rsidR="007E6A2F" w:rsidRDefault="007E6A2F">
      <w:pPr>
        <w:pStyle w:val="CommentText"/>
      </w:pPr>
      <w:r>
        <w:rPr>
          <w:rStyle w:val="CommentReference"/>
        </w:rPr>
        <w:annotationRef/>
      </w:r>
      <w:proofErr w:type="gramStart"/>
      <w:r>
        <w:t>Also</w:t>
      </w:r>
      <w:proofErr w:type="gramEnd"/>
      <w:r>
        <w:t xml:space="preserve"> exactly what settings are done to read it? And then say, “We used a Tecan X with …”</w:t>
      </w:r>
    </w:p>
  </w:comment>
  <w:comment w:id="9" w:author="Kate D Crawford" w:date="2020-04-17T02:12:00Z" w:initials="KDC">
    <w:p w14:paraId="4B00A053" w14:textId="77777777" w:rsidR="007E6A2F" w:rsidRDefault="007E6A2F">
      <w:pPr>
        <w:pStyle w:val="CommentText"/>
      </w:pPr>
      <w:r>
        <w:rPr>
          <w:rStyle w:val="CommentReference"/>
        </w:rPr>
        <w:annotationRef/>
      </w:r>
      <w:r>
        <w:t>I forgot to look this up today. I will get it tomorrow</w:t>
      </w:r>
    </w:p>
    <w:p w14:paraId="62105710" w14:textId="69ED2DBD" w:rsidR="0048493D" w:rsidRDefault="0048493D">
      <w:pPr>
        <w:pStyle w:val="CommentText"/>
      </w:pPr>
    </w:p>
  </w:comment>
  <w:comment w:id="10" w:author="Bloom PhD, Jesse D" w:date="2020-04-17T07:06:00Z" w:initials="BPJD">
    <w:p w14:paraId="4667DA3E" w14:textId="3ACB3537" w:rsidR="0048493D" w:rsidRDefault="0048493D">
      <w:pPr>
        <w:pStyle w:val="CommentText"/>
      </w:pPr>
      <w:r>
        <w:rPr>
          <w:rStyle w:val="CommentReference"/>
        </w:rPr>
        <w:annotationRef/>
      </w:r>
      <w:r>
        <w:t xml:space="preserve">And I mainly mean not the Tecan model, but what are you actual reading? Is it just a single luminescence setting, or is there any sort of wavelength or anything that is </w:t>
      </w:r>
      <w:proofErr w:type="gramStart"/>
      <w:r>
        <w:t>specified.</w:t>
      </w:r>
      <w:proofErr w:type="gramEnd"/>
      <w:r>
        <w:t xml:space="preserve"> That is the important part.</w:t>
      </w:r>
    </w:p>
  </w:comment>
  <w:comment w:id="11" w:author="Bloom PhD, Jesse D" w:date="2020-04-17T07:03:00Z" w:initials="BPJD">
    <w:p w14:paraId="168972F4" w14:textId="59F7B050" w:rsidR="00726800" w:rsidRDefault="00726800">
      <w:pPr>
        <w:pStyle w:val="CommentText"/>
      </w:pPr>
      <w:r>
        <w:rPr>
          <w:rStyle w:val="CommentReference"/>
        </w:rPr>
        <w:annotationRef/>
      </w:r>
      <w:r w:rsidR="00AD79A2">
        <w:t>Orient this correctly. It is standard that 96-well plates have 8 rows and 12 columns, but you are showing it with 8 columns and 12 rows.</w:t>
      </w:r>
    </w:p>
  </w:comment>
  <w:comment w:id="12" w:author="Kate D Crawford" w:date="2020-04-17T02:13:00Z" w:initials="KDC">
    <w:p w14:paraId="1E02734C" w14:textId="4DAD129A" w:rsidR="007E6A2F" w:rsidRDefault="007E6A2F">
      <w:pPr>
        <w:pStyle w:val="CommentText"/>
      </w:pPr>
      <w:r>
        <w:rPr>
          <w:rStyle w:val="CommentReference"/>
        </w:rPr>
        <w:annotationRef/>
      </w:r>
      <w:r>
        <w:t>Will find this info 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7F6B32" w15:done="0"/>
  <w15:commentEx w15:paraId="718D8D1E" w15:done="0"/>
  <w15:commentEx w15:paraId="5D611F2F" w15:done="0"/>
  <w15:commentEx w15:paraId="2CC836D6" w15:done="0"/>
  <w15:commentEx w15:paraId="3059E40C" w15:paraIdParent="2CC836D6" w15:done="0"/>
  <w15:commentEx w15:paraId="1BBAE8D2" w15:paraIdParent="2CC836D6" w15:done="0"/>
  <w15:commentEx w15:paraId="06675C80" w15:done="0"/>
  <w15:commentEx w15:paraId="62105710" w15:paraIdParent="06675C80" w15:done="0"/>
  <w15:commentEx w15:paraId="4667DA3E" w15:paraIdParent="06675C80" w15:done="0"/>
  <w15:commentEx w15:paraId="168972F4" w15:done="0"/>
  <w15:commentEx w15:paraId="1E0273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3ED1F" w16cex:dateUtc="2020-04-17T15:53:00Z"/>
  <w16cex:commentExtensible w16cex:durableId="2242FF78" w16cex:dateUtc="2020-04-16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7F6B32" w16cid:durableId="2243D25A"/>
  <w16cid:commentId w16cid:paraId="718D8D1E" w16cid:durableId="22427E08"/>
  <w16cid:commentId w16cid:paraId="5D611F2F" w16cid:durableId="2242B0CF"/>
  <w16cid:commentId w16cid:paraId="2CC836D6" w16cid:durableId="2242ADCC"/>
  <w16cid:commentId w16cid:paraId="3059E40C" w16cid:durableId="224375C9"/>
  <w16cid:commentId w16cid:paraId="1BBAE8D2" w16cid:durableId="2243ED1F"/>
  <w16cid:commentId w16cid:paraId="06675C80" w16cid:durableId="2242FF78"/>
  <w16cid:commentId w16cid:paraId="62105710" w16cid:durableId="22438F29"/>
  <w16cid:commentId w16cid:paraId="4667DA3E" w16cid:durableId="2243D40B"/>
  <w16cid:commentId w16cid:paraId="168972F4" w16cid:durableId="2243D327"/>
  <w16cid:commentId w16cid:paraId="1E02734C" w16cid:durableId="22438F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27E01" w14:textId="77777777" w:rsidR="00254990" w:rsidRDefault="00254990">
      <w:pPr>
        <w:spacing w:line="240" w:lineRule="auto"/>
      </w:pPr>
      <w:r>
        <w:separator/>
      </w:r>
    </w:p>
  </w:endnote>
  <w:endnote w:type="continuationSeparator" w:id="0">
    <w:p w14:paraId="3D2C94DA" w14:textId="77777777" w:rsidR="00254990" w:rsidRDefault="00254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E6A2F" w:rsidRPr="00CF0CC9" w:rsidRDefault="007E6A2F"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E6A2F" w:rsidRPr="00372FCD" w:rsidRDefault="007E6A2F"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x; doi: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0D069" w14:textId="77777777" w:rsidR="00254990" w:rsidRDefault="00254990">
      <w:pPr>
        <w:spacing w:line="240" w:lineRule="auto"/>
      </w:pPr>
      <w:r>
        <w:separator/>
      </w:r>
    </w:p>
  </w:footnote>
  <w:footnote w:type="continuationSeparator" w:id="0">
    <w:p w14:paraId="57885928" w14:textId="77777777" w:rsidR="00254990" w:rsidRDefault="002549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E6A2F" w:rsidRDefault="007E6A2F"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E6A2F" w:rsidRPr="00EE746E" w:rsidRDefault="007E6A2F"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E6A2F" w:rsidRDefault="007E6A2F"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2">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299B"/>
    <w:rsid w:val="00015111"/>
    <w:rsid w:val="00020AC4"/>
    <w:rsid w:val="00021BB0"/>
    <w:rsid w:val="00022890"/>
    <w:rsid w:val="00032B6A"/>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486C"/>
    <w:rsid w:val="00164E0D"/>
    <w:rsid w:val="00165034"/>
    <w:rsid w:val="0017185F"/>
    <w:rsid w:val="00173E2D"/>
    <w:rsid w:val="00174AC2"/>
    <w:rsid w:val="00177BE1"/>
    <w:rsid w:val="00181401"/>
    <w:rsid w:val="00183322"/>
    <w:rsid w:val="00191BDC"/>
    <w:rsid w:val="001938B7"/>
    <w:rsid w:val="0019424C"/>
    <w:rsid w:val="00194891"/>
    <w:rsid w:val="001A20DA"/>
    <w:rsid w:val="001A2EA3"/>
    <w:rsid w:val="001B36E1"/>
    <w:rsid w:val="001C3BDF"/>
    <w:rsid w:val="001D1AFE"/>
    <w:rsid w:val="001D20FA"/>
    <w:rsid w:val="001D7553"/>
    <w:rsid w:val="001E0EF6"/>
    <w:rsid w:val="001E1AEB"/>
    <w:rsid w:val="001E2025"/>
    <w:rsid w:val="001E2687"/>
    <w:rsid w:val="001E2AEB"/>
    <w:rsid w:val="001E516B"/>
    <w:rsid w:val="001E7856"/>
    <w:rsid w:val="001F01CF"/>
    <w:rsid w:val="001F08EA"/>
    <w:rsid w:val="001F1F62"/>
    <w:rsid w:val="001F3E85"/>
    <w:rsid w:val="00211D56"/>
    <w:rsid w:val="00212C49"/>
    <w:rsid w:val="00214E4B"/>
    <w:rsid w:val="00215D8D"/>
    <w:rsid w:val="00216F03"/>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64CE4"/>
    <w:rsid w:val="00265DE9"/>
    <w:rsid w:val="00265FCE"/>
    <w:rsid w:val="00266D3D"/>
    <w:rsid w:val="00267702"/>
    <w:rsid w:val="0027218E"/>
    <w:rsid w:val="00276D2D"/>
    <w:rsid w:val="00280D5D"/>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4D16"/>
    <w:rsid w:val="00497686"/>
    <w:rsid w:val="004A0E04"/>
    <w:rsid w:val="004A50EC"/>
    <w:rsid w:val="004A73D6"/>
    <w:rsid w:val="004B3754"/>
    <w:rsid w:val="004B3B4A"/>
    <w:rsid w:val="004C2ADE"/>
    <w:rsid w:val="004C2FDD"/>
    <w:rsid w:val="004C324F"/>
    <w:rsid w:val="004C54FD"/>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8B2"/>
    <w:rsid w:val="0061281F"/>
    <w:rsid w:val="00614E57"/>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2772"/>
    <w:rsid w:val="00712845"/>
    <w:rsid w:val="00721CC6"/>
    <w:rsid w:val="00723933"/>
    <w:rsid w:val="00724714"/>
    <w:rsid w:val="00726800"/>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55C3"/>
    <w:rsid w:val="007A10FA"/>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D58E1"/>
    <w:rsid w:val="007E05E2"/>
    <w:rsid w:val="007E6A2F"/>
    <w:rsid w:val="007E6D20"/>
    <w:rsid w:val="007E75E8"/>
    <w:rsid w:val="007E7880"/>
    <w:rsid w:val="007F6277"/>
    <w:rsid w:val="007F7C8C"/>
    <w:rsid w:val="00804145"/>
    <w:rsid w:val="0081243C"/>
    <w:rsid w:val="008176DB"/>
    <w:rsid w:val="00820D4F"/>
    <w:rsid w:val="00823EA9"/>
    <w:rsid w:val="008250B5"/>
    <w:rsid w:val="00827475"/>
    <w:rsid w:val="008334F2"/>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B09"/>
    <w:rsid w:val="00885B81"/>
    <w:rsid w:val="00891AB0"/>
    <w:rsid w:val="00892446"/>
    <w:rsid w:val="0089415F"/>
    <w:rsid w:val="00894DAD"/>
    <w:rsid w:val="0089577B"/>
    <w:rsid w:val="00895B2D"/>
    <w:rsid w:val="008A156C"/>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8B1"/>
    <w:rsid w:val="00D86915"/>
    <w:rsid w:val="00D900D5"/>
    <w:rsid w:val="00D90B27"/>
    <w:rsid w:val="00D957F4"/>
    <w:rsid w:val="00D97AF5"/>
    <w:rsid w:val="00DA15EA"/>
    <w:rsid w:val="00DA2CBB"/>
    <w:rsid w:val="00DA4227"/>
    <w:rsid w:val="00DA5CF6"/>
    <w:rsid w:val="00DB2DC5"/>
    <w:rsid w:val="00DB5E7E"/>
    <w:rsid w:val="00DC3931"/>
    <w:rsid w:val="00DC3DD0"/>
    <w:rsid w:val="00DC668E"/>
    <w:rsid w:val="00DC7DC4"/>
    <w:rsid w:val="00DD0C0D"/>
    <w:rsid w:val="00DD3A2D"/>
    <w:rsid w:val="00DD56CF"/>
    <w:rsid w:val="00DD583E"/>
    <w:rsid w:val="00DE0A40"/>
    <w:rsid w:val="00DE57BF"/>
    <w:rsid w:val="00DE6E18"/>
    <w:rsid w:val="00DE70D7"/>
    <w:rsid w:val="00DF168B"/>
    <w:rsid w:val="00DF541D"/>
    <w:rsid w:val="00DF59A9"/>
    <w:rsid w:val="00E02D10"/>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4C76"/>
    <w:rsid w:val="00F140ED"/>
    <w:rsid w:val="00F15C55"/>
    <w:rsid w:val="00F17399"/>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4.png"/><Relationship Id="rId39" Type="http://schemas.microsoft.com/office/2011/relationships/people" Target="people.xml"/><Relationship Id="rId21" Type="http://schemas.openxmlformats.org/officeDocument/2006/relationships/image" Target="media/image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image" Target="media/image6.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microsoft.com/office/2018/08/relationships/commentsExtensible" Target="commentsExtensible.xm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B3DC3E8-3D64-F946-AB70-75B4CF13C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829</TotalTime>
  <Pages>14</Pages>
  <Words>49631</Words>
  <Characters>282898</Characters>
  <Application>Microsoft Office Word</Application>
  <DocSecurity>0</DocSecurity>
  <Lines>2357</Lines>
  <Paragraphs>663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331866</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644</cp:revision>
  <dcterms:created xsi:type="dcterms:W3CDTF">2020-04-14T15:56:00Z</dcterms:created>
  <dcterms:modified xsi:type="dcterms:W3CDTF">2020-04-17T16:00:00Z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